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B2" w:rsidRDefault="00013C5A">
      <w:pPr>
        <w:autoSpaceDE w:val="0"/>
        <w:autoSpaceDN w:val="0"/>
        <w:adjustRightInd w:val="0"/>
        <w:snapToGrid w:val="0"/>
        <w:spacing w:line="300" w:lineRule="auto"/>
        <w:jc w:val="center"/>
        <w:rPr>
          <w:rFonts w:asciiTheme="minorEastAsia" w:eastAsiaTheme="minorEastAsia" w:hAnsiTheme="minorEastAsia"/>
          <w:b/>
          <w:snapToGrid w:val="0"/>
          <w:kern w:val="0"/>
          <w:sz w:val="36"/>
          <w:szCs w:val="36"/>
          <w:lang w:val="zh-CN"/>
        </w:rPr>
      </w:pPr>
      <w:r>
        <w:rPr>
          <w:rFonts w:asciiTheme="minorEastAsia" w:eastAsiaTheme="minorEastAsia" w:hAnsiTheme="minorEastAsia" w:cs="黑体" w:hint="eastAsia"/>
          <w:b/>
          <w:bCs/>
          <w:snapToGrid w:val="0"/>
          <w:kern w:val="0"/>
          <w:sz w:val="36"/>
          <w:szCs w:val="36"/>
          <w:lang w:val="zh-CN"/>
        </w:rPr>
        <w:t>《年轻人的</w:t>
      </w:r>
      <w:r>
        <w:rPr>
          <w:rFonts w:asciiTheme="minorEastAsia" w:eastAsiaTheme="minorEastAsia" w:hAnsiTheme="minorEastAsia" w:cs="宋体" w:hint="eastAsia"/>
          <w:b/>
          <w:snapToGrid w:val="0"/>
          <w:kern w:val="0"/>
          <w:sz w:val="36"/>
          <w:szCs w:val="36"/>
          <w:lang w:val="zh-CN"/>
        </w:rPr>
        <w:t>理财规划</w:t>
      </w:r>
      <w:r>
        <w:rPr>
          <w:rFonts w:asciiTheme="minorEastAsia" w:eastAsiaTheme="minorEastAsia" w:hAnsiTheme="minorEastAsia" w:cs="黑体" w:hint="eastAsia"/>
          <w:b/>
          <w:bCs/>
          <w:snapToGrid w:val="0"/>
          <w:kern w:val="0"/>
          <w:sz w:val="36"/>
          <w:szCs w:val="36"/>
          <w:lang w:val="zh-CN"/>
        </w:rPr>
        <w:t>》课程教学大纲</w:t>
      </w:r>
    </w:p>
    <w:p w:rsidR="001D0AB2" w:rsidRDefault="001D0AB2">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p>
    <w:p w:rsidR="001D0AB2" w:rsidRDefault="001D0AB2">
      <w:pPr>
        <w:autoSpaceDE w:val="0"/>
        <w:autoSpaceDN w:val="0"/>
        <w:adjustRightInd w:val="0"/>
        <w:snapToGrid w:val="0"/>
        <w:spacing w:line="300" w:lineRule="auto"/>
        <w:ind w:firstLineChars="200" w:firstLine="480"/>
        <w:rPr>
          <w:rFonts w:asciiTheme="minorEastAsia" w:eastAsiaTheme="minorEastAsia" w:hAnsiTheme="minorEastAsia" w:cs="宋体"/>
          <w:snapToGrid w:val="0"/>
          <w:kern w:val="0"/>
          <w:sz w:val="24"/>
          <w:lang w:val="zh-CN"/>
        </w:rPr>
      </w:pPr>
    </w:p>
    <w:p w:rsidR="001D0AB2" w:rsidRDefault="00013C5A">
      <w:pPr>
        <w:autoSpaceDE w:val="0"/>
        <w:autoSpaceDN w:val="0"/>
        <w:adjustRightInd w:val="0"/>
        <w:snapToGrid w:val="0"/>
        <w:spacing w:line="300" w:lineRule="auto"/>
        <w:ind w:firstLineChars="200" w:firstLine="482"/>
        <w:rPr>
          <w:rFonts w:asciiTheme="minorEastAsia" w:eastAsiaTheme="minorEastAsia" w:hAnsiTheme="minorEastAsia" w:cs="宋体"/>
          <w:b/>
          <w:snapToGrid w:val="0"/>
          <w:kern w:val="0"/>
          <w:sz w:val="24"/>
          <w:lang w:val="zh-CN"/>
        </w:rPr>
      </w:pPr>
      <w:r>
        <w:rPr>
          <w:rFonts w:asciiTheme="minorEastAsia" w:eastAsiaTheme="minorEastAsia" w:hAnsiTheme="minorEastAsia" w:cs="宋体" w:hint="eastAsia"/>
          <w:b/>
          <w:snapToGrid w:val="0"/>
          <w:kern w:val="0"/>
          <w:sz w:val="24"/>
          <w:lang w:val="zh-CN"/>
        </w:rPr>
        <w:t>一、课程基本信息</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r>
        <w:rPr>
          <w:rFonts w:asciiTheme="minorEastAsia" w:eastAsiaTheme="minorEastAsia" w:hAnsiTheme="minorEastAsia" w:cs="宋体" w:hint="eastAsia"/>
          <w:snapToGrid w:val="0"/>
          <w:kern w:val="0"/>
          <w:szCs w:val="21"/>
          <w:lang w:val="zh-CN"/>
        </w:rPr>
        <w:t>课程类别：（通识选修课）</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snapToGrid w:val="0"/>
          <w:kern w:val="0"/>
          <w:szCs w:val="21"/>
          <w:lang w:val="zh-CN"/>
        </w:rPr>
      </w:pPr>
      <w:r>
        <w:rPr>
          <w:rFonts w:asciiTheme="minorEastAsia" w:eastAsiaTheme="minorEastAsia" w:hAnsiTheme="minorEastAsia" w:cs="宋体" w:hint="eastAsia"/>
          <w:snapToGrid w:val="0"/>
          <w:kern w:val="0"/>
          <w:szCs w:val="21"/>
          <w:lang w:val="zh-CN"/>
        </w:rPr>
        <w:t>学时</w:t>
      </w:r>
      <w:r>
        <w:rPr>
          <w:rFonts w:asciiTheme="minorEastAsia" w:eastAsiaTheme="minorEastAsia" w:hAnsiTheme="minorEastAsia" w:cs="宋体" w:hint="eastAsia"/>
          <w:snapToGrid w:val="0"/>
          <w:kern w:val="0"/>
          <w:szCs w:val="21"/>
          <w:lang w:val="zh-CN"/>
        </w:rPr>
        <w:t>/</w:t>
      </w:r>
      <w:r>
        <w:rPr>
          <w:rFonts w:asciiTheme="minorEastAsia" w:eastAsiaTheme="minorEastAsia" w:hAnsiTheme="minorEastAsia" w:cs="宋体" w:hint="eastAsia"/>
          <w:snapToGrid w:val="0"/>
          <w:kern w:val="0"/>
          <w:szCs w:val="21"/>
          <w:lang w:val="zh-CN"/>
        </w:rPr>
        <w:t>学分：</w:t>
      </w:r>
      <w:r>
        <w:rPr>
          <w:rFonts w:asciiTheme="minorEastAsia" w:eastAsiaTheme="minorEastAsia" w:hAnsiTheme="minorEastAsia" w:cs="宋体"/>
          <w:snapToGrid w:val="0"/>
          <w:kern w:val="0"/>
          <w:szCs w:val="21"/>
          <w:lang w:val="zh-CN"/>
        </w:rPr>
        <w:t>16</w:t>
      </w:r>
      <w:r>
        <w:rPr>
          <w:rFonts w:asciiTheme="minorEastAsia" w:eastAsiaTheme="minorEastAsia" w:hAnsiTheme="minorEastAsia" w:cs="宋体" w:hint="eastAsia"/>
          <w:snapToGrid w:val="0"/>
          <w:kern w:val="0"/>
          <w:szCs w:val="21"/>
          <w:lang w:val="zh-CN"/>
        </w:rPr>
        <w:t>/</w:t>
      </w:r>
      <w:r>
        <w:rPr>
          <w:rFonts w:asciiTheme="minorEastAsia" w:eastAsiaTheme="minorEastAsia" w:hAnsiTheme="minorEastAsia" w:cs="宋体" w:hint="eastAsia"/>
          <w:snapToGrid w:val="0"/>
          <w:kern w:val="0"/>
          <w:szCs w:val="21"/>
        </w:rPr>
        <w:t>1.0</w:t>
      </w:r>
      <w:r>
        <w:rPr>
          <w:rFonts w:asciiTheme="minorEastAsia" w:eastAsiaTheme="minorEastAsia" w:hAnsiTheme="minorEastAsia" w:cs="宋体" w:hint="eastAsia"/>
          <w:snapToGrid w:val="0"/>
          <w:kern w:val="0"/>
          <w:szCs w:val="21"/>
          <w:lang w:val="zh-CN"/>
        </w:rPr>
        <w:t>（含实践、实验、上机等学时数）</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r>
        <w:rPr>
          <w:rFonts w:asciiTheme="minorEastAsia" w:eastAsiaTheme="minorEastAsia" w:hAnsiTheme="minorEastAsia" w:cs="宋体" w:hint="eastAsia"/>
          <w:snapToGrid w:val="0"/>
          <w:kern w:val="0"/>
          <w:szCs w:val="21"/>
          <w:lang w:val="zh-CN"/>
        </w:rPr>
        <w:t>开课单位：商学院</w:t>
      </w:r>
      <w:r>
        <w:rPr>
          <w:rFonts w:asciiTheme="minorEastAsia" w:eastAsiaTheme="minorEastAsia" w:hAnsiTheme="minorEastAsia" w:cs="宋体"/>
          <w:snapToGrid w:val="0"/>
          <w:kern w:val="0"/>
          <w:szCs w:val="21"/>
          <w:lang w:val="zh-CN"/>
        </w:rPr>
        <w:t xml:space="preserve"> </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snapToGrid w:val="0"/>
          <w:kern w:val="0"/>
          <w:szCs w:val="21"/>
          <w:lang w:val="zh-CN"/>
        </w:rPr>
      </w:pPr>
      <w:r>
        <w:rPr>
          <w:rFonts w:asciiTheme="minorEastAsia" w:eastAsiaTheme="minorEastAsia" w:hAnsiTheme="minorEastAsia" w:cs="宋体" w:hint="eastAsia"/>
          <w:snapToGrid w:val="0"/>
          <w:kern w:val="0"/>
          <w:szCs w:val="21"/>
          <w:lang w:val="zh-CN"/>
        </w:rPr>
        <w:t>开课对象：全体学院</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r>
        <w:rPr>
          <w:rFonts w:asciiTheme="minorEastAsia" w:eastAsiaTheme="minorEastAsia" w:hAnsiTheme="minorEastAsia" w:cs="宋体" w:hint="eastAsia"/>
          <w:snapToGrid w:val="0"/>
          <w:kern w:val="0"/>
          <w:szCs w:val="21"/>
          <w:lang w:val="zh-CN"/>
        </w:rPr>
        <w:t>先修课程</w:t>
      </w:r>
      <w:r>
        <w:rPr>
          <w:rFonts w:asciiTheme="minorEastAsia" w:eastAsiaTheme="minorEastAsia" w:hAnsiTheme="minorEastAsia" w:cs="宋体" w:hint="eastAsia"/>
          <w:snapToGrid w:val="0"/>
          <w:kern w:val="0"/>
          <w:szCs w:val="21"/>
          <w:lang w:val="zh-CN"/>
        </w:rPr>
        <w:t>/</w:t>
      </w:r>
      <w:r>
        <w:rPr>
          <w:rFonts w:asciiTheme="minorEastAsia" w:eastAsiaTheme="minorEastAsia" w:hAnsiTheme="minorEastAsia" w:cs="宋体" w:hint="eastAsia"/>
          <w:snapToGrid w:val="0"/>
          <w:kern w:val="0"/>
          <w:szCs w:val="21"/>
          <w:lang w:val="zh-CN"/>
        </w:rPr>
        <w:t>后修课程：</w:t>
      </w:r>
    </w:p>
    <w:p w:rsidR="001D0AB2" w:rsidRDefault="001D0AB2">
      <w:pPr>
        <w:autoSpaceDE w:val="0"/>
        <w:autoSpaceDN w:val="0"/>
        <w:adjustRightInd w:val="0"/>
        <w:snapToGrid w:val="0"/>
        <w:spacing w:line="300" w:lineRule="auto"/>
        <w:ind w:firstLineChars="200" w:firstLine="482"/>
        <w:rPr>
          <w:rFonts w:asciiTheme="minorEastAsia" w:eastAsiaTheme="minorEastAsia" w:hAnsiTheme="minorEastAsia" w:cs="宋体"/>
          <w:b/>
          <w:snapToGrid w:val="0"/>
          <w:kern w:val="0"/>
          <w:sz w:val="24"/>
          <w:lang w:val="zh-CN"/>
        </w:rPr>
      </w:pPr>
    </w:p>
    <w:p w:rsidR="001D0AB2" w:rsidRDefault="00013C5A">
      <w:pPr>
        <w:autoSpaceDE w:val="0"/>
        <w:autoSpaceDN w:val="0"/>
        <w:adjustRightInd w:val="0"/>
        <w:snapToGrid w:val="0"/>
        <w:spacing w:line="300" w:lineRule="auto"/>
        <w:ind w:firstLineChars="200" w:firstLine="482"/>
        <w:rPr>
          <w:rFonts w:asciiTheme="minorEastAsia" w:eastAsiaTheme="minorEastAsia" w:hAnsiTheme="minorEastAsia" w:cs="宋体"/>
          <w:b/>
          <w:snapToGrid w:val="0"/>
          <w:kern w:val="0"/>
          <w:sz w:val="24"/>
          <w:lang w:val="zh-CN"/>
        </w:rPr>
      </w:pPr>
      <w:r>
        <w:rPr>
          <w:rFonts w:asciiTheme="minorEastAsia" w:eastAsiaTheme="minorEastAsia" w:hAnsiTheme="minorEastAsia" w:cs="宋体" w:hint="eastAsia"/>
          <w:b/>
          <w:snapToGrid w:val="0"/>
          <w:kern w:val="0"/>
          <w:sz w:val="24"/>
          <w:lang w:val="zh-CN"/>
        </w:rPr>
        <w:t>二、教材及参考资料</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r>
        <w:rPr>
          <w:rFonts w:asciiTheme="minorEastAsia" w:eastAsiaTheme="minorEastAsia" w:hAnsiTheme="minorEastAsia" w:cs="宋体" w:hint="eastAsia"/>
          <w:snapToGrid w:val="0"/>
          <w:kern w:val="0"/>
          <w:szCs w:val="21"/>
          <w:lang w:val="zh-CN"/>
        </w:rPr>
        <w:t>选定教材：（</w:t>
      </w:r>
      <w:r>
        <w:rPr>
          <w:rFonts w:asciiTheme="minorEastAsia" w:eastAsiaTheme="minorEastAsia" w:hAnsiTheme="minorEastAsia" w:cs="宋体" w:hint="eastAsia"/>
          <w:snapToGrid w:val="0"/>
          <w:kern w:val="0"/>
          <w:szCs w:val="21"/>
          <w:lang w:val="zh-CN"/>
        </w:rPr>
        <w:t>1-2</w:t>
      </w:r>
      <w:r>
        <w:rPr>
          <w:rFonts w:asciiTheme="minorEastAsia" w:eastAsiaTheme="minorEastAsia" w:hAnsiTheme="minorEastAsia" w:cs="宋体" w:hint="eastAsia"/>
          <w:snapToGrid w:val="0"/>
          <w:kern w:val="0"/>
          <w:szCs w:val="21"/>
          <w:lang w:val="zh-CN"/>
        </w:rPr>
        <w:t>本）</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r>
        <w:rPr>
          <w:rFonts w:asciiTheme="minorEastAsia" w:eastAsiaTheme="minorEastAsia" w:hAnsiTheme="minorEastAsia" w:cs="宋体" w:hint="eastAsia"/>
          <w:snapToGrid w:val="0"/>
          <w:kern w:val="0"/>
          <w:szCs w:val="21"/>
          <w:lang w:val="zh-CN"/>
        </w:rPr>
        <w:t>自编教材（课件及读物）</w:t>
      </w:r>
    </w:p>
    <w:p w:rsidR="001D0AB2" w:rsidRDefault="00013C5A">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lang w:val="zh-CN"/>
        </w:rPr>
      </w:pPr>
      <w:r>
        <w:rPr>
          <w:rFonts w:asciiTheme="minorEastAsia" w:eastAsiaTheme="minorEastAsia" w:hAnsiTheme="minorEastAsia" w:cs="宋体" w:hint="eastAsia"/>
          <w:snapToGrid w:val="0"/>
          <w:kern w:val="0"/>
          <w:szCs w:val="21"/>
          <w:lang w:val="zh-CN"/>
        </w:rPr>
        <w:t>参考书：（</w:t>
      </w:r>
      <w:r>
        <w:rPr>
          <w:rFonts w:asciiTheme="minorEastAsia" w:eastAsiaTheme="minorEastAsia" w:hAnsiTheme="minorEastAsia" w:cs="宋体" w:hint="eastAsia"/>
          <w:snapToGrid w:val="0"/>
          <w:kern w:val="0"/>
          <w:szCs w:val="21"/>
          <w:lang w:val="zh-CN"/>
        </w:rPr>
        <w:t>2-3</w:t>
      </w:r>
      <w:r>
        <w:rPr>
          <w:rFonts w:asciiTheme="minorEastAsia" w:eastAsiaTheme="minorEastAsia" w:hAnsiTheme="minorEastAsia" w:cs="宋体" w:hint="eastAsia"/>
          <w:snapToGrid w:val="0"/>
          <w:kern w:val="0"/>
          <w:szCs w:val="21"/>
          <w:lang w:val="zh-CN"/>
        </w:rPr>
        <w:t>本）</w:t>
      </w:r>
    </w:p>
    <w:p w:rsidR="001D0AB2" w:rsidRDefault="00013C5A">
      <w:pPr>
        <w:numPr>
          <w:ilvl w:val="0"/>
          <w:numId w:val="1"/>
        </w:numPr>
        <w:spacing w:line="300" w:lineRule="auto"/>
      </w:pPr>
      <w:r>
        <w:rPr>
          <w:rFonts w:hint="eastAsia"/>
        </w:rPr>
        <w:t>《金融市场基础知识》，中国证券业协会编，中国财政经济出版社，</w:t>
      </w:r>
      <w:r>
        <w:rPr>
          <w:rFonts w:hint="eastAsia"/>
        </w:rPr>
        <w:t>2018</w:t>
      </w:r>
    </w:p>
    <w:p w:rsidR="001D0AB2" w:rsidRDefault="00013C5A">
      <w:pPr>
        <w:numPr>
          <w:ilvl w:val="0"/>
          <w:numId w:val="1"/>
        </w:numPr>
        <w:spacing w:line="300" w:lineRule="auto"/>
      </w:pPr>
      <w:r>
        <w:rPr>
          <w:rFonts w:hint="eastAsia"/>
        </w:rPr>
        <w:t>《证券市场基本法律法规》，中国证券业协会编，中国财政经济出版社，</w:t>
      </w:r>
      <w:r>
        <w:rPr>
          <w:rFonts w:hint="eastAsia"/>
        </w:rPr>
        <w:t>2018</w:t>
      </w:r>
    </w:p>
    <w:p w:rsidR="001D0AB2" w:rsidRDefault="00013C5A">
      <w:pPr>
        <w:numPr>
          <w:ilvl w:val="0"/>
          <w:numId w:val="1"/>
        </w:numPr>
        <w:spacing w:line="300" w:lineRule="auto"/>
      </w:pPr>
      <w:r>
        <w:rPr>
          <w:rFonts w:hint="eastAsia"/>
        </w:rPr>
        <w:t>《证券投资基金基础知识》，</w:t>
      </w:r>
      <w:hyperlink r:id="rId9" w:tgtFrame="_blank" w:history="1">
        <w:r>
          <w:rPr>
            <w:rFonts w:hint="eastAsia"/>
          </w:rPr>
          <w:t>基金从业人员资格考试命题研究中心</w:t>
        </w:r>
      </w:hyperlink>
      <w:r>
        <w:rPr>
          <w:rFonts w:hint="eastAsia"/>
        </w:rPr>
        <w:t>，</w:t>
      </w:r>
      <w:hyperlink r:id="rId10" w:tgtFrame="_blank" w:history="1">
        <w:r>
          <w:rPr>
            <w:rFonts w:hint="eastAsia"/>
          </w:rPr>
          <w:t>北京燕山出版社</w:t>
        </w:r>
      </w:hyperlink>
      <w:r>
        <w:rPr>
          <w:rFonts w:hint="eastAsia"/>
        </w:rPr>
        <w:t>，</w:t>
      </w:r>
      <w:r>
        <w:rPr>
          <w:rFonts w:hint="eastAsia"/>
        </w:rPr>
        <w:t>2018</w:t>
      </w:r>
    </w:p>
    <w:p w:rsidR="001D0AB2" w:rsidRDefault="00013C5A">
      <w:pPr>
        <w:numPr>
          <w:ilvl w:val="0"/>
          <w:numId w:val="1"/>
        </w:numPr>
        <w:spacing w:line="300" w:lineRule="auto"/>
      </w:pPr>
      <w:r>
        <w:rPr>
          <w:rFonts w:hint="eastAsia"/>
        </w:rPr>
        <w:t>《</w:t>
      </w:r>
      <w:hyperlink r:id="rId11" w:tgtFrame="_blank" w:tooltip="漫步华尔街（原书第11版）" w:history="1">
        <w:r>
          <w:t>漫步华尔街（原书第</w:t>
        </w:r>
        <w:r>
          <w:t>11</w:t>
        </w:r>
        <w:r>
          <w:t>版）</w:t>
        </w:r>
      </w:hyperlink>
      <w:r>
        <w:rPr>
          <w:rFonts w:hint="eastAsia"/>
        </w:rPr>
        <w:t>》，</w:t>
      </w:r>
      <w:hyperlink r:id="rId12" w:tgtFrame="_blank" w:history="1">
        <w:r>
          <w:t>伯顿</w:t>
        </w:r>
        <w:r>
          <w:t>G</w:t>
        </w:r>
      </w:hyperlink>
      <w:r>
        <w:rPr>
          <w:rFonts w:hint="eastAsia"/>
        </w:rPr>
        <w:t>.</w:t>
      </w:r>
      <w:hyperlink r:id="rId13" w:tgtFrame="_blank" w:history="1">
        <w:r>
          <w:t>马尔基尔</w:t>
        </w:r>
      </w:hyperlink>
      <w:r>
        <w:rPr>
          <w:rFonts w:hint="eastAsia"/>
        </w:rPr>
        <w:t>，</w:t>
      </w:r>
      <w:hyperlink r:id="rId14" w:tgtFrame="_blank" w:history="1">
        <w:r>
          <w:t>机械工业出版社</w:t>
        </w:r>
      </w:hyperlink>
      <w:r>
        <w:rPr>
          <w:rFonts w:hint="eastAsia"/>
        </w:rPr>
        <w:t>，</w:t>
      </w:r>
      <w:r>
        <w:rPr>
          <w:rFonts w:hint="eastAsia"/>
        </w:rPr>
        <w:t>2017</w:t>
      </w:r>
    </w:p>
    <w:p w:rsidR="001D0AB2" w:rsidRDefault="00013C5A">
      <w:pPr>
        <w:numPr>
          <w:ilvl w:val="0"/>
          <w:numId w:val="1"/>
        </w:numPr>
        <w:spacing w:line="300" w:lineRule="auto"/>
      </w:pPr>
      <w:r>
        <w:rPr>
          <w:rFonts w:hint="eastAsia"/>
        </w:rPr>
        <w:t>《</w:t>
      </w:r>
      <w:hyperlink r:id="rId15" w:tgtFrame="_blank" w:tooltip="金融心理学（你不能不读的五大投资经典著作之一！《逃不开的经济周期》作者成名之作，长销10年不衰！）" w:history="1">
        <w:r>
          <w:t>金融心理学</w:t>
        </w:r>
      </w:hyperlink>
      <w:r>
        <w:rPr>
          <w:rFonts w:hint="eastAsia"/>
        </w:rPr>
        <w:t>》，（挪）</w:t>
      </w:r>
      <w:hyperlink r:id="rId16" w:tgtFrame="_blank" w:tooltip="（挪）特维德　著，周为群　译" w:history="1">
        <w:r>
          <w:rPr>
            <w:rFonts w:hint="eastAsia"/>
          </w:rPr>
          <w:t>特维德</w:t>
        </w:r>
      </w:hyperlink>
      <w:r>
        <w:rPr>
          <w:rFonts w:hint="eastAsia"/>
        </w:rPr>
        <w:t>，</w:t>
      </w:r>
      <w:hyperlink r:id="rId17" w:tgtFrame="_blank" w:history="1">
        <w:r>
          <w:rPr>
            <w:rFonts w:hint="eastAsia"/>
          </w:rPr>
          <w:t>中信出版社</w:t>
        </w:r>
      </w:hyperlink>
      <w:r>
        <w:rPr>
          <w:rFonts w:hint="eastAsia"/>
        </w:rPr>
        <w:t>，</w:t>
      </w:r>
      <w:r>
        <w:rPr>
          <w:rFonts w:hint="eastAsia"/>
        </w:rPr>
        <w:t>2013</w:t>
      </w:r>
    </w:p>
    <w:p w:rsidR="001D0AB2" w:rsidRDefault="00013C5A">
      <w:pPr>
        <w:numPr>
          <w:ilvl w:val="0"/>
          <w:numId w:val="1"/>
        </w:numPr>
        <w:spacing w:line="300" w:lineRule="auto"/>
      </w:pPr>
      <w:r>
        <w:rPr>
          <w:rFonts w:hint="eastAsia"/>
        </w:rPr>
        <w:t>《</w:t>
      </w:r>
      <w:hyperlink r:id="rId18" w:tgtFrame="_blank" w:tooltip="彼得·林奇教你理财（典藏版）" w:history="1">
        <w:r>
          <w:t>彼得</w:t>
        </w:r>
        <w:r>
          <w:t>·</w:t>
        </w:r>
        <w:r>
          <w:t>林奇教你理财</w:t>
        </w:r>
      </w:hyperlink>
      <w:r>
        <w:rPr>
          <w:rFonts w:hint="eastAsia"/>
        </w:rPr>
        <w:t>》，</w:t>
      </w:r>
      <w:r>
        <w:rPr>
          <w:rFonts w:hint="eastAsia"/>
        </w:rPr>
        <w:t>[</w:t>
      </w:r>
      <w:r>
        <w:rPr>
          <w:rFonts w:hint="eastAsia"/>
        </w:rPr>
        <w:t>美</w:t>
      </w:r>
      <w:r>
        <w:rPr>
          <w:rFonts w:hint="eastAsia"/>
        </w:rPr>
        <w:t>]</w:t>
      </w:r>
      <w:hyperlink r:id="rId19" w:tgtFrame="_blank" w:tooltip="[美]彼得·林奇（Peter Lynch） 约翰·罗瑟查尔德（John Rothchild）、宋三江、罗志芳译" w:history="1">
        <w:r>
          <w:rPr>
            <w:rFonts w:hint="eastAsia"/>
          </w:rPr>
          <w:t>彼得·林奇</w:t>
        </w:r>
      </w:hyperlink>
      <w:r>
        <w:rPr>
          <w:rFonts w:hint="eastAsia"/>
        </w:rPr>
        <w:t>、</w:t>
      </w:r>
      <w:r>
        <w:rPr>
          <w:rFonts w:hint="eastAsia"/>
        </w:rPr>
        <w:t> </w:t>
      </w:r>
      <w:hyperlink r:id="rId20" w:tgtFrame="_blank" w:tooltip="[美]彼得·林奇（Peter Lynch） 约翰·罗瑟查尔德（John Rothchild）、宋三江、罗志芳译" w:history="1">
        <w:r>
          <w:rPr>
            <w:rFonts w:hint="eastAsia"/>
          </w:rPr>
          <w:t>约翰·罗瑟查尔</w:t>
        </w:r>
      </w:hyperlink>
      <w:r>
        <w:rPr>
          <w:rFonts w:hint="eastAsia"/>
        </w:rPr>
        <w:t>，</w:t>
      </w:r>
      <w:hyperlink r:id="rId21" w:tgtFrame="_blank" w:history="1">
        <w:r>
          <w:rPr>
            <w:rFonts w:hint="eastAsia"/>
          </w:rPr>
          <w:t>机械工业出版社</w:t>
        </w:r>
      </w:hyperlink>
      <w:r>
        <w:rPr>
          <w:rFonts w:hint="eastAsia"/>
        </w:rPr>
        <w:t>，</w:t>
      </w:r>
      <w:r>
        <w:rPr>
          <w:rFonts w:hint="eastAsia"/>
        </w:rPr>
        <w:t>2010</w:t>
      </w:r>
    </w:p>
    <w:p w:rsidR="001D0AB2" w:rsidRDefault="001D0AB2">
      <w:pPr>
        <w:autoSpaceDE w:val="0"/>
        <w:autoSpaceDN w:val="0"/>
        <w:adjustRightInd w:val="0"/>
        <w:snapToGrid w:val="0"/>
        <w:spacing w:line="300" w:lineRule="auto"/>
        <w:ind w:firstLineChars="200" w:firstLine="420"/>
        <w:rPr>
          <w:rFonts w:asciiTheme="minorEastAsia" w:eastAsiaTheme="minorEastAsia" w:hAnsiTheme="minorEastAsia" w:cs="宋体"/>
          <w:snapToGrid w:val="0"/>
          <w:kern w:val="0"/>
          <w:szCs w:val="21"/>
        </w:rPr>
      </w:pPr>
    </w:p>
    <w:p w:rsidR="001D0AB2" w:rsidRDefault="00013C5A">
      <w:pPr>
        <w:autoSpaceDE w:val="0"/>
        <w:autoSpaceDN w:val="0"/>
        <w:adjustRightInd w:val="0"/>
        <w:snapToGrid w:val="0"/>
        <w:spacing w:line="300" w:lineRule="auto"/>
        <w:ind w:firstLineChars="200" w:firstLine="482"/>
        <w:rPr>
          <w:rFonts w:asciiTheme="minorEastAsia" w:eastAsiaTheme="minorEastAsia" w:hAnsiTheme="minorEastAsia"/>
        </w:rPr>
      </w:pPr>
      <w:r>
        <w:rPr>
          <w:rFonts w:asciiTheme="minorEastAsia" w:eastAsiaTheme="minorEastAsia" w:hAnsiTheme="minorEastAsia" w:hint="eastAsia"/>
          <w:b/>
          <w:snapToGrid w:val="0"/>
          <w:sz w:val="24"/>
          <w:lang w:val="zh-CN"/>
        </w:rPr>
        <w:t>三、课程性质和任务</w:t>
      </w:r>
      <w:r>
        <w:rPr>
          <w:rFonts w:asciiTheme="minorEastAsia" w:eastAsiaTheme="minorEastAsia" w:hAnsiTheme="minorEastAsia" w:hint="eastAsia"/>
        </w:rPr>
        <w:t>（要求：①明确课程在相关专业教学计划中的地位和作用，与其它相关课程的关系，主要教学任务等；</w:t>
      </w:r>
      <w:r>
        <w:rPr>
          <w:rFonts w:asciiTheme="minorEastAsia" w:eastAsiaTheme="minorEastAsia" w:hAnsiTheme="minorEastAsia" w:hint="eastAsia"/>
          <w:color w:val="FF0000"/>
        </w:rPr>
        <w:t>②</w:t>
      </w:r>
      <w:r>
        <w:rPr>
          <w:color w:val="FF0000"/>
        </w:rPr>
        <w:t>须融入通识教育目标</w:t>
      </w:r>
      <w:r>
        <w:rPr>
          <w:color w:val="FF0000"/>
        </w:rPr>
        <w:t>“</w:t>
      </w:r>
      <w:r>
        <w:rPr>
          <w:color w:val="FF0000"/>
        </w:rPr>
        <w:t>五会</w:t>
      </w:r>
      <w:r>
        <w:rPr>
          <w:color w:val="FF0000"/>
        </w:rPr>
        <w:t>”</w:t>
      </w:r>
      <w:r>
        <w:rPr>
          <w:color w:val="FF0000"/>
        </w:rPr>
        <w:t>的内容，</w:t>
      </w:r>
      <w:r>
        <w:rPr>
          <w:color w:val="FF0000"/>
        </w:rPr>
        <w:t>“</w:t>
      </w:r>
      <w:r>
        <w:rPr>
          <w:color w:val="FF0000"/>
        </w:rPr>
        <w:t>五会</w:t>
      </w:r>
      <w:r>
        <w:rPr>
          <w:color w:val="FF0000"/>
        </w:rPr>
        <w:t>”</w:t>
      </w:r>
      <w:r>
        <w:rPr>
          <w:color w:val="FF0000"/>
        </w:rPr>
        <w:t>指的是</w:t>
      </w:r>
      <w:r>
        <w:rPr>
          <w:color w:val="FF0000"/>
        </w:rPr>
        <w:t>“</w:t>
      </w:r>
      <w:r>
        <w:rPr>
          <w:color w:val="FF0000"/>
        </w:rPr>
        <w:t>会思考</w:t>
      </w:r>
      <w:r>
        <w:rPr>
          <w:rFonts w:hint="eastAsia"/>
          <w:color w:val="FF0000"/>
        </w:rPr>
        <w:t>、</w:t>
      </w:r>
      <w:r>
        <w:rPr>
          <w:color w:val="FF0000"/>
        </w:rPr>
        <w:t>会学习</w:t>
      </w:r>
      <w:r>
        <w:rPr>
          <w:rFonts w:hint="eastAsia"/>
          <w:color w:val="FF0000"/>
        </w:rPr>
        <w:t>、</w:t>
      </w:r>
      <w:r>
        <w:rPr>
          <w:color w:val="FF0000"/>
        </w:rPr>
        <w:t>会沟通</w:t>
      </w:r>
      <w:r>
        <w:rPr>
          <w:rFonts w:hint="eastAsia"/>
          <w:color w:val="FF0000"/>
        </w:rPr>
        <w:t>、</w:t>
      </w:r>
      <w:r>
        <w:rPr>
          <w:color w:val="FF0000"/>
        </w:rPr>
        <w:t>会动手</w:t>
      </w:r>
      <w:r>
        <w:rPr>
          <w:rFonts w:hint="eastAsia"/>
          <w:color w:val="FF0000"/>
        </w:rPr>
        <w:t>、</w:t>
      </w:r>
      <w:r>
        <w:rPr>
          <w:color w:val="FF0000"/>
        </w:rPr>
        <w:t>会生活</w:t>
      </w:r>
      <w:r>
        <w:rPr>
          <w:color w:val="FF0000"/>
        </w:rPr>
        <w:t>”</w:t>
      </w:r>
      <w:r>
        <w:t>。</w:t>
      </w:r>
      <w:r>
        <w:rPr>
          <w:rFonts w:asciiTheme="minorEastAsia" w:eastAsiaTheme="minorEastAsia" w:hAnsiTheme="minorEastAsia" w:hint="eastAsia"/>
        </w:rPr>
        <w:t>)</w:t>
      </w:r>
    </w:p>
    <w:p w:rsidR="001D0AB2" w:rsidRDefault="00013C5A">
      <w:pPr>
        <w:spacing w:line="300" w:lineRule="auto"/>
        <w:ind w:firstLineChars="200" w:firstLine="420"/>
      </w:pPr>
      <w:r>
        <w:rPr>
          <w:rFonts w:hint="eastAsia"/>
        </w:rPr>
        <w:t>本课程通过系统讲解金融市场投资的基本知识、基本理论，以及相关的投资策略和技能，使学生熟悉金融市场的组织构架、交易品种、运作机制、运行规律。第二，通过热点事件分析，使学生充分了解金融市场的风险，增强风险防范能力，掌握基础的理财知识，做理性投资者。第三，通过案例分析及重点专题讲解等方式，培养学生的金融视野，注重理论知识与现实金融市场的结合，重点培养学生分析和解决金融投资相关问题的能力。本</w:t>
      </w:r>
      <w:r>
        <w:t>课程旨在</w:t>
      </w:r>
      <w:r>
        <w:rPr>
          <w:rFonts w:hint="eastAsia"/>
        </w:rPr>
        <w:t>为学生进一步学习了解金融市场打好基础，满足学生今后日常理财规划、风险防范的知识需要，帮助学生们加深对金融理财产品的思考</w:t>
      </w:r>
      <w:r>
        <w:rPr>
          <w:rFonts w:hint="eastAsia"/>
        </w:rPr>
        <w:t>，掌握理财方法，并在未来对个人及家庭的理财投资有基础的规划知识和风险防范意识。</w:t>
      </w:r>
    </w:p>
    <w:p w:rsidR="001D0AB2" w:rsidRDefault="001D0AB2">
      <w:pPr>
        <w:autoSpaceDE w:val="0"/>
        <w:autoSpaceDN w:val="0"/>
        <w:adjustRightInd w:val="0"/>
        <w:snapToGrid w:val="0"/>
        <w:spacing w:line="300" w:lineRule="auto"/>
        <w:ind w:firstLineChars="200" w:firstLine="420"/>
        <w:rPr>
          <w:rFonts w:asciiTheme="minorEastAsia" w:eastAsiaTheme="minorEastAsia" w:hAnsiTheme="minorEastAsia"/>
        </w:rPr>
      </w:pPr>
    </w:p>
    <w:p w:rsidR="001D0AB2" w:rsidRDefault="001D0AB2">
      <w:pPr>
        <w:autoSpaceDE w:val="0"/>
        <w:autoSpaceDN w:val="0"/>
        <w:adjustRightInd w:val="0"/>
        <w:snapToGrid w:val="0"/>
        <w:spacing w:line="300" w:lineRule="auto"/>
        <w:ind w:firstLineChars="200" w:firstLine="420"/>
        <w:rPr>
          <w:rFonts w:asciiTheme="minorEastAsia" w:eastAsiaTheme="minorEastAsia" w:hAnsiTheme="minorEastAsia" w:cs="宋体"/>
          <w:kern w:val="0"/>
        </w:rPr>
      </w:pPr>
    </w:p>
    <w:p w:rsidR="001D0AB2" w:rsidRDefault="00013C5A">
      <w:pPr>
        <w:autoSpaceDE w:val="0"/>
        <w:autoSpaceDN w:val="0"/>
        <w:adjustRightInd w:val="0"/>
        <w:snapToGrid w:val="0"/>
        <w:spacing w:line="300" w:lineRule="auto"/>
        <w:ind w:firstLineChars="200" w:firstLine="482"/>
        <w:rPr>
          <w:rFonts w:asciiTheme="minorEastAsia" w:eastAsiaTheme="minorEastAsia" w:hAnsiTheme="minorEastAsia" w:cs="宋体"/>
          <w:b/>
          <w:snapToGrid w:val="0"/>
          <w:kern w:val="0"/>
          <w:sz w:val="24"/>
          <w:lang w:val="zh-CN"/>
        </w:rPr>
      </w:pPr>
      <w:r>
        <w:rPr>
          <w:rFonts w:asciiTheme="minorEastAsia" w:eastAsiaTheme="minorEastAsia" w:hAnsiTheme="minorEastAsia" w:cs="宋体" w:hint="eastAsia"/>
          <w:b/>
          <w:snapToGrid w:val="0"/>
          <w:kern w:val="0"/>
          <w:sz w:val="24"/>
          <w:lang w:val="zh-CN"/>
        </w:rPr>
        <w:t>四、</w:t>
      </w:r>
      <w:r>
        <w:rPr>
          <w:rFonts w:asciiTheme="minorEastAsia" w:eastAsiaTheme="minorEastAsia" w:hAnsiTheme="minorEastAsia" w:cs="宋体" w:hint="eastAsia"/>
          <w:b/>
          <w:snapToGrid w:val="0"/>
          <w:color w:val="FF0000"/>
          <w:kern w:val="0"/>
          <w:sz w:val="24"/>
          <w:lang w:val="zh-CN"/>
        </w:rPr>
        <w:t>学习</w:t>
      </w:r>
      <w:r>
        <w:rPr>
          <w:rFonts w:asciiTheme="minorEastAsia" w:eastAsiaTheme="minorEastAsia" w:hAnsiTheme="minorEastAsia" w:cs="宋体" w:hint="eastAsia"/>
          <w:b/>
          <w:snapToGrid w:val="0"/>
          <w:kern w:val="0"/>
          <w:sz w:val="24"/>
          <w:lang w:val="zh-CN"/>
        </w:rPr>
        <w:t>目标及对毕业要求指标点的支撑</w:t>
      </w:r>
    </w:p>
    <w:tbl>
      <w:tblPr>
        <w:tblStyle w:val="a7"/>
        <w:tblW w:w="8827" w:type="dxa"/>
        <w:jc w:val="center"/>
        <w:tblLook w:val="04A0" w:firstRow="1" w:lastRow="0" w:firstColumn="1" w:lastColumn="0" w:noHBand="0" w:noVBand="1"/>
      </w:tblPr>
      <w:tblGrid>
        <w:gridCol w:w="1019"/>
        <w:gridCol w:w="3503"/>
        <w:gridCol w:w="4305"/>
      </w:tblGrid>
      <w:tr w:rsidR="001D0AB2">
        <w:trPr>
          <w:trHeight w:val="567"/>
          <w:jc w:val="center"/>
        </w:trPr>
        <w:tc>
          <w:tcPr>
            <w:tcW w:w="1019"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350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color w:val="FF0000"/>
              </w:rPr>
              <w:t>学习</w:t>
            </w:r>
            <w:r>
              <w:rPr>
                <w:rFonts w:asciiTheme="minorEastAsia" w:eastAsiaTheme="minorEastAsia" w:hAnsiTheme="minorEastAsia" w:hint="eastAsia"/>
              </w:rPr>
              <w:t>目标</w:t>
            </w:r>
          </w:p>
        </w:tc>
        <w:tc>
          <w:tcPr>
            <w:tcW w:w="4305"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对应毕业要求指标点</w:t>
            </w:r>
          </w:p>
        </w:tc>
      </w:tr>
      <w:tr w:rsidR="001D0AB2">
        <w:trPr>
          <w:trHeight w:val="567"/>
          <w:jc w:val="center"/>
        </w:trPr>
        <w:tc>
          <w:tcPr>
            <w:tcW w:w="1019"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1</w:t>
            </w:r>
          </w:p>
        </w:tc>
        <w:tc>
          <w:tcPr>
            <w:tcW w:w="3503"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hint="eastAsia"/>
                <w:color w:val="FF0000"/>
              </w:rPr>
              <w:t>学习</w:t>
            </w:r>
            <w:r>
              <w:rPr>
                <w:rFonts w:asciiTheme="minorEastAsia" w:eastAsiaTheme="minorEastAsia" w:hAnsiTheme="minorEastAsia" w:hint="eastAsia"/>
              </w:rPr>
              <w:t>目标</w:t>
            </w:r>
            <w:r>
              <w:rPr>
                <w:rFonts w:asciiTheme="minorEastAsia" w:eastAsiaTheme="minorEastAsia" w:hAnsiTheme="minorEastAsia" w:hint="eastAsia"/>
              </w:rPr>
              <w:t>1</w:t>
            </w:r>
            <w:r>
              <w:rPr>
                <w:rFonts w:asciiTheme="minorEastAsia" w:eastAsiaTheme="minorEastAsia" w:hAnsiTheme="minorEastAsia" w:hint="eastAsia"/>
              </w:rPr>
              <w:t>：掌握金融市场及理财规划基础知识</w:t>
            </w:r>
          </w:p>
        </w:tc>
        <w:tc>
          <w:tcPr>
            <w:tcW w:w="4305" w:type="dxa"/>
            <w:vAlign w:val="center"/>
          </w:tcPr>
          <w:p w:rsidR="001D0AB2" w:rsidRDefault="00013C5A">
            <w:pPr>
              <w:spacing w:line="300" w:lineRule="auto"/>
            </w:pPr>
            <w:r>
              <w:rPr>
                <w:rFonts w:hint="eastAsia"/>
              </w:rPr>
              <w:t>熟悉金融市场投资方法的基本知识，进一步</w:t>
            </w:r>
            <w:r>
              <w:t>培养自身</w:t>
            </w:r>
            <w:r>
              <w:rPr>
                <w:rFonts w:hint="eastAsia"/>
              </w:rPr>
              <w:t>分析金融市场和金融投资方式的能力。</w:t>
            </w:r>
          </w:p>
          <w:p w:rsidR="001D0AB2" w:rsidRDefault="001D0AB2">
            <w:pPr>
              <w:spacing w:line="300" w:lineRule="auto"/>
              <w:rPr>
                <w:rFonts w:asciiTheme="minorEastAsia" w:eastAsiaTheme="minorEastAsia" w:hAnsiTheme="minorEastAsia"/>
              </w:rPr>
            </w:pPr>
          </w:p>
        </w:tc>
      </w:tr>
      <w:tr w:rsidR="001D0AB2">
        <w:trPr>
          <w:trHeight w:val="567"/>
          <w:jc w:val="center"/>
        </w:trPr>
        <w:tc>
          <w:tcPr>
            <w:tcW w:w="1019"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2</w:t>
            </w:r>
          </w:p>
        </w:tc>
        <w:tc>
          <w:tcPr>
            <w:tcW w:w="3503" w:type="dxa"/>
            <w:vAlign w:val="center"/>
          </w:tcPr>
          <w:p w:rsidR="001D0AB2" w:rsidRDefault="00013C5A">
            <w:r>
              <w:rPr>
                <w:rFonts w:asciiTheme="minorEastAsia" w:eastAsiaTheme="minorEastAsia" w:hAnsiTheme="minorEastAsia" w:hint="eastAsia"/>
                <w:color w:val="FF0000"/>
              </w:rPr>
              <w:t>学习</w:t>
            </w:r>
            <w:r>
              <w:rPr>
                <w:rFonts w:asciiTheme="minorEastAsia" w:eastAsiaTheme="minorEastAsia" w:hAnsiTheme="minorEastAsia" w:hint="eastAsia"/>
              </w:rPr>
              <w:t>目标</w:t>
            </w:r>
            <w:r>
              <w:rPr>
                <w:rFonts w:asciiTheme="minorEastAsia" w:eastAsiaTheme="minorEastAsia" w:hAnsiTheme="minorEastAsia" w:hint="eastAsia"/>
              </w:rPr>
              <w:t>2</w:t>
            </w:r>
            <w:r>
              <w:rPr>
                <w:rFonts w:asciiTheme="minorEastAsia" w:eastAsiaTheme="minorEastAsia" w:hAnsiTheme="minorEastAsia" w:hint="eastAsia"/>
              </w:rPr>
              <w:t>：树立正确的消费观，防范校园贷，防范金融风险，做理性投资者。</w:t>
            </w:r>
          </w:p>
        </w:tc>
        <w:tc>
          <w:tcPr>
            <w:tcW w:w="4305" w:type="dxa"/>
            <w:vAlign w:val="center"/>
          </w:tcPr>
          <w:p w:rsidR="001D0AB2" w:rsidRDefault="00013C5A">
            <w:pPr>
              <w:spacing w:line="300" w:lineRule="auto"/>
              <w:rPr>
                <w:rFonts w:asciiTheme="minorEastAsia" w:eastAsiaTheme="minorEastAsia" w:hAnsiTheme="minorEastAsia"/>
              </w:rPr>
            </w:pPr>
            <w:r>
              <w:rPr>
                <w:rFonts w:hint="eastAsia"/>
              </w:rPr>
              <w:t>在对金融市场有基本认识的情况下，提升自身的分析能力，尤其是提升自身的风险防范意识，</w:t>
            </w:r>
            <w:r>
              <w:rPr>
                <w:rFonts w:asciiTheme="minorEastAsia" w:eastAsiaTheme="minorEastAsia" w:hAnsiTheme="minorEastAsia" w:hint="eastAsia"/>
              </w:rPr>
              <w:t>树立正确的消费观，</w:t>
            </w:r>
            <w:r>
              <w:rPr>
                <w:rFonts w:hint="eastAsia"/>
              </w:rPr>
              <w:t>做好校园贷的风险防范，更能树立风险防范意识，做理性投资者。</w:t>
            </w:r>
          </w:p>
        </w:tc>
      </w:tr>
      <w:tr w:rsidR="001D0AB2">
        <w:trPr>
          <w:trHeight w:val="567"/>
          <w:jc w:val="center"/>
        </w:trPr>
        <w:tc>
          <w:tcPr>
            <w:tcW w:w="1019"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3</w:t>
            </w:r>
          </w:p>
        </w:tc>
        <w:tc>
          <w:tcPr>
            <w:tcW w:w="3503" w:type="dxa"/>
            <w:vAlign w:val="center"/>
          </w:tcPr>
          <w:p w:rsidR="001D0AB2" w:rsidRDefault="00013C5A">
            <w:r>
              <w:rPr>
                <w:rFonts w:asciiTheme="minorEastAsia" w:eastAsiaTheme="minorEastAsia" w:hAnsiTheme="minorEastAsia" w:hint="eastAsia"/>
                <w:color w:val="FF0000"/>
              </w:rPr>
              <w:t>学习</w:t>
            </w:r>
            <w:r>
              <w:rPr>
                <w:rFonts w:asciiTheme="minorEastAsia" w:eastAsiaTheme="minorEastAsia" w:hAnsiTheme="minorEastAsia" w:hint="eastAsia"/>
              </w:rPr>
              <w:t>目标</w:t>
            </w:r>
            <w:r>
              <w:rPr>
                <w:rFonts w:asciiTheme="minorEastAsia" w:eastAsiaTheme="minorEastAsia" w:hAnsiTheme="minorEastAsia"/>
              </w:rPr>
              <w:t>3</w:t>
            </w:r>
            <w:r>
              <w:rPr>
                <w:rFonts w:asciiTheme="minorEastAsia" w:eastAsiaTheme="minorEastAsia" w:hAnsiTheme="minorEastAsia" w:hint="eastAsia"/>
              </w:rPr>
              <w:t>：</w:t>
            </w:r>
            <w:r>
              <w:rPr>
                <w:rFonts w:hint="eastAsia"/>
              </w:rPr>
              <w:t>活学活用，能够将所学知识应用到以后的个人及家庭理规划中</w:t>
            </w:r>
          </w:p>
        </w:tc>
        <w:tc>
          <w:tcPr>
            <w:tcW w:w="4305" w:type="dxa"/>
            <w:vAlign w:val="center"/>
          </w:tcPr>
          <w:p w:rsidR="001D0AB2" w:rsidRDefault="00013C5A">
            <w:pPr>
              <w:spacing w:line="300" w:lineRule="auto"/>
              <w:rPr>
                <w:rFonts w:asciiTheme="minorEastAsia" w:eastAsiaTheme="minorEastAsia" w:hAnsiTheme="minorEastAsia"/>
              </w:rPr>
            </w:pPr>
            <w:r>
              <w:rPr>
                <w:rFonts w:hint="eastAsia"/>
              </w:rPr>
              <w:t>在充分了解和掌握基础投资理财知识的基础上，能活学活用，结合市场行情和自身财务状况，学会运用课程中的基本知识和方法分析研究，并进一步指导自身和家庭的理财规划。</w:t>
            </w:r>
          </w:p>
        </w:tc>
      </w:tr>
    </w:tbl>
    <w:p w:rsidR="001D0AB2" w:rsidRDefault="00013C5A">
      <w:pPr>
        <w:spacing w:line="300" w:lineRule="auto"/>
        <w:ind w:firstLineChars="250" w:firstLine="525"/>
      </w:pPr>
      <w:r>
        <w:rPr>
          <w:rFonts w:hint="eastAsia"/>
        </w:rPr>
        <w:t>注：</w:t>
      </w:r>
      <w:r>
        <w:rPr>
          <w:rFonts w:hint="eastAsia"/>
          <w:color w:val="FF0000"/>
        </w:rPr>
        <w:t>学习</w:t>
      </w:r>
      <w:r>
        <w:rPr>
          <w:rFonts w:hint="eastAsia"/>
        </w:rPr>
        <w:t>目标要融入课程思政，包含德育目标、知识能力目标和通识素养目标，按了解、理解、掌握、运用等层次，阐明学生通过本课程学习要达到的知识、能力、素质等方面的目标要求。</w:t>
      </w:r>
    </w:p>
    <w:p w:rsidR="001D0AB2" w:rsidRDefault="001D0AB2">
      <w:pPr>
        <w:spacing w:line="300" w:lineRule="auto"/>
        <w:ind w:firstLineChars="200" w:firstLine="420"/>
      </w:pPr>
    </w:p>
    <w:p w:rsidR="001D0AB2" w:rsidRDefault="00013C5A">
      <w:pPr>
        <w:adjustRightInd w:val="0"/>
        <w:snapToGrid w:val="0"/>
        <w:spacing w:line="300" w:lineRule="auto"/>
        <w:ind w:firstLineChars="200" w:firstLine="482"/>
        <w:rPr>
          <w:rFonts w:asciiTheme="minorEastAsia" w:eastAsiaTheme="minorEastAsia" w:hAnsiTheme="minorEastAsia"/>
          <w:b/>
          <w:snapToGrid w:val="0"/>
          <w:sz w:val="24"/>
          <w:lang w:val="zh-CN"/>
        </w:rPr>
      </w:pPr>
      <w:r>
        <w:rPr>
          <w:rFonts w:asciiTheme="minorEastAsia" w:eastAsiaTheme="minorEastAsia" w:hAnsiTheme="minorEastAsia" w:hint="eastAsia"/>
          <w:b/>
          <w:snapToGrid w:val="0"/>
          <w:sz w:val="24"/>
          <w:lang w:val="zh-CN"/>
        </w:rPr>
        <w:t>五、教学内容及安排</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052"/>
        <w:gridCol w:w="1417"/>
        <w:gridCol w:w="823"/>
        <w:gridCol w:w="1151"/>
        <w:gridCol w:w="1400"/>
      </w:tblGrid>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305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教学内容</w:t>
            </w:r>
          </w:p>
        </w:tc>
        <w:tc>
          <w:tcPr>
            <w:tcW w:w="1417"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课程教学</w:t>
            </w:r>
          </w:p>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重难点</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推荐学时</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教学</w:t>
            </w:r>
          </w:p>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方</w:t>
            </w:r>
            <w:r>
              <w:rPr>
                <w:rFonts w:asciiTheme="minorEastAsia" w:eastAsiaTheme="minorEastAsia" w:hAnsiTheme="minorEastAsia" w:hint="eastAsia"/>
              </w:rPr>
              <w:t>法手段</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对应</w:t>
            </w:r>
          </w:p>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color w:val="FF0000"/>
              </w:rPr>
              <w:t>学习</w:t>
            </w:r>
            <w:r>
              <w:rPr>
                <w:rFonts w:asciiTheme="minorEastAsia" w:eastAsiaTheme="minorEastAsia" w:hAnsiTheme="minorEastAsia"/>
              </w:rPr>
              <w:t>目标</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1</w:t>
            </w:r>
          </w:p>
        </w:tc>
        <w:tc>
          <w:tcPr>
            <w:tcW w:w="3052" w:type="dxa"/>
            <w:vAlign w:val="center"/>
          </w:tcPr>
          <w:p w:rsidR="001D0AB2" w:rsidRDefault="00013C5A">
            <w:pPr>
              <w:spacing w:line="300" w:lineRule="auto"/>
              <w:rPr>
                <w:szCs w:val="21"/>
              </w:rPr>
            </w:pPr>
            <w:r>
              <w:rPr>
                <w:rFonts w:hint="eastAsia"/>
                <w:szCs w:val="21"/>
              </w:rPr>
              <w:t>金融</w:t>
            </w:r>
            <w:r>
              <w:rPr>
                <w:szCs w:val="21"/>
              </w:rPr>
              <w:t>投资市场</w:t>
            </w:r>
            <w:r>
              <w:rPr>
                <w:rFonts w:hint="eastAsia"/>
                <w:szCs w:val="21"/>
              </w:rPr>
              <w:t>概览</w:t>
            </w:r>
          </w:p>
        </w:tc>
        <w:tc>
          <w:tcPr>
            <w:tcW w:w="1417" w:type="dxa"/>
            <w:vAlign w:val="center"/>
          </w:tcPr>
          <w:p w:rsidR="001D0AB2" w:rsidRDefault="00A9785B">
            <w:pPr>
              <w:spacing w:line="300" w:lineRule="auto"/>
              <w:rPr>
                <w:rFonts w:asciiTheme="minorEastAsia" w:eastAsiaTheme="minorEastAsia" w:hAnsiTheme="minorEastAsia" w:hint="eastAsia"/>
              </w:rPr>
            </w:pPr>
            <w:r>
              <w:rPr>
                <w:rFonts w:asciiTheme="minorEastAsia" w:eastAsiaTheme="minorEastAsia" w:hAnsiTheme="minorEastAsia"/>
              </w:rPr>
              <w:t>初步认识金融市场</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1</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3052" w:type="dxa"/>
            <w:vAlign w:val="center"/>
          </w:tcPr>
          <w:p w:rsidR="001D0AB2" w:rsidRDefault="00013C5A">
            <w:pPr>
              <w:spacing w:line="300" w:lineRule="auto"/>
              <w:rPr>
                <w:rFonts w:asciiTheme="minorEastAsia" w:eastAsiaTheme="minorEastAsia" w:hAnsiTheme="minorEastAsia"/>
              </w:rPr>
            </w:pPr>
            <w:r>
              <w:rPr>
                <w:rFonts w:hint="eastAsia"/>
                <w:szCs w:val="21"/>
              </w:rPr>
              <w:t>防范</w:t>
            </w:r>
            <w:r>
              <w:rPr>
                <w:szCs w:val="21"/>
              </w:rPr>
              <w:t>投资风险</w:t>
            </w:r>
            <w:r>
              <w:rPr>
                <w:rFonts w:hint="eastAsia"/>
                <w:szCs w:val="21"/>
              </w:rPr>
              <w:t>，</w:t>
            </w:r>
            <w:r>
              <w:rPr>
                <w:szCs w:val="21"/>
              </w:rPr>
              <w:t>保护自身权益</w:t>
            </w:r>
          </w:p>
        </w:tc>
        <w:tc>
          <w:tcPr>
            <w:tcW w:w="1417"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rPr>
              <w:t>各类投资风险的防范及</w:t>
            </w:r>
            <w:r w:rsidR="00A9785B">
              <w:rPr>
                <w:rFonts w:asciiTheme="minorEastAsia" w:eastAsiaTheme="minorEastAsia" w:hAnsiTheme="minorEastAsia"/>
              </w:rPr>
              <w:t>维权渠道</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2</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3</w:t>
            </w:r>
          </w:p>
        </w:tc>
        <w:tc>
          <w:tcPr>
            <w:tcW w:w="3052" w:type="dxa"/>
            <w:vAlign w:val="center"/>
          </w:tcPr>
          <w:p w:rsidR="001D0AB2" w:rsidRDefault="00A9785B">
            <w:pPr>
              <w:spacing w:line="300" w:lineRule="auto"/>
              <w:rPr>
                <w:rFonts w:asciiTheme="minorEastAsia" w:eastAsiaTheme="minorEastAsia" w:hAnsiTheme="minorEastAsia"/>
              </w:rPr>
            </w:pPr>
            <w:r>
              <w:rPr>
                <w:rFonts w:asciiTheme="minorEastAsia" w:eastAsiaTheme="minorEastAsia" w:hAnsiTheme="minorEastAsia" w:hint="eastAsia"/>
              </w:rPr>
              <w:t>金融产品入门</w:t>
            </w:r>
          </w:p>
        </w:tc>
        <w:tc>
          <w:tcPr>
            <w:tcW w:w="1417" w:type="dxa"/>
            <w:vAlign w:val="center"/>
          </w:tcPr>
          <w:p w:rsidR="001D0AB2" w:rsidRDefault="00A9785B">
            <w:pPr>
              <w:spacing w:line="300" w:lineRule="auto"/>
              <w:rPr>
                <w:rFonts w:asciiTheme="minorEastAsia" w:eastAsiaTheme="minorEastAsia" w:hAnsiTheme="minorEastAsia"/>
              </w:rPr>
            </w:pPr>
            <w:r>
              <w:rPr>
                <w:rFonts w:asciiTheme="minorEastAsia" w:eastAsiaTheme="minorEastAsia" w:hAnsiTheme="minorEastAsia"/>
              </w:rPr>
              <w:t>金融产品</w:t>
            </w:r>
            <w:r w:rsidR="00013C5A">
              <w:rPr>
                <w:rFonts w:asciiTheme="minorEastAsia" w:eastAsiaTheme="minorEastAsia" w:hAnsiTheme="minorEastAsia"/>
              </w:rPr>
              <w:t>的分类及特点</w:t>
            </w:r>
          </w:p>
        </w:tc>
        <w:tc>
          <w:tcPr>
            <w:tcW w:w="823" w:type="dxa"/>
            <w:vAlign w:val="center"/>
          </w:tcPr>
          <w:p w:rsidR="001D0AB2" w:rsidRDefault="00A9785B">
            <w:pPr>
              <w:spacing w:line="300" w:lineRule="auto"/>
              <w:jc w:val="center"/>
              <w:rPr>
                <w:rFonts w:asciiTheme="minorEastAsia" w:eastAsiaTheme="minorEastAsia" w:hAnsiTheme="minorEastAsia"/>
              </w:rPr>
            </w:pPr>
            <w:r>
              <w:rPr>
                <w:rFonts w:asciiTheme="minorEastAsia" w:eastAsiaTheme="minorEastAsia" w:hAnsiTheme="minor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1</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4</w:t>
            </w:r>
          </w:p>
        </w:tc>
        <w:tc>
          <w:tcPr>
            <w:tcW w:w="3052" w:type="dxa"/>
            <w:vAlign w:val="center"/>
          </w:tcPr>
          <w:p w:rsidR="001D0AB2" w:rsidRDefault="00A9785B">
            <w:pPr>
              <w:spacing w:line="300" w:lineRule="auto"/>
              <w:rPr>
                <w:rFonts w:asciiTheme="minorEastAsia" w:eastAsiaTheme="minorEastAsia" w:hAnsiTheme="minorEastAsia"/>
              </w:rPr>
            </w:pPr>
            <w:r>
              <w:rPr>
                <w:rFonts w:asciiTheme="minorEastAsia" w:eastAsiaTheme="minorEastAsia" w:hAnsiTheme="minorEastAsia" w:hint="eastAsia"/>
              </w:rPr>
              <w:t>认识</w:t>
            </w:r>
            <w:r w:rsidR="00013C5A">
              <w:rPr>
                <w:rFonts w:asciiTheme="minorEastAsia" w:eastAsiaTheme="minorEastAsia" w:hAnsiTheme="minorEastAsia"/>
              </w:rPr>
              <w:t>股票</w:t>
            </w:r>
          </w:p>
        </w:tc>
        <w:tc>
          <w:tcPr>
            <w:tcW w:w="1417" w:type="dxa"/>
            <w:vAlign w:val="center"/>
          </w:tcPr>
          <w:p w:rsidR="001D0AB2" w:rsidRDefault="00013C5A" w:rsidP="00A9785B">
            <w:pPr>
              <w:spacing w:line="300" w:lineRule="auto"/>
              <w:rPr>
                <w:rFonts w:asciiTheme="minorEastAsia" w:eastAsiaTheme="minorEastAsia" w:hAnsiTheme="minorEastAsia"/>
              </w:rPr>
            </w:pPr>
            <w:r>
              <w:rPr>
                <w:rFonts w:asciiTheme="minorEastAsia" w:eastAsiaTheme="minorEastAsia" w:hAnsiTheme="minorEastAsia" w:hint="eastAsia"/>
              </w:rPr>
              <w:t>认识股票市场，树立正确、理性的投资观念</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1</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5</w:t>
            </w:r>
          </w:p>
        </w:tc>
        <w:tc>
          <w:tcPr>
            <w:tcW w:w="3052"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hint="eastAsia"/>
              </w:rPr>
              <w:t>什么是“两融”</w:t>
            </w:r>
          </w:p>
        </w:tc>
        <w:tc>
          <w:tcPr>
            <w:tcW w:w="1417"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rPr>
              <w:t>融资融券知识的掌握和风险防范</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1</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6</w:t>
            </w:r>
          </w:p>
        </w:tc>
        <w:tc>
          <w:tcPr>
            <w:tcW w:w="3052" w:type="dxa"/>
            <w:vAlign w:val="center"/>
          </w:tcPr>
          <w:p w:rsidR="001D0AB2" w:rsidRDefault="00A9785B">
            <w:pPr>
              <w:spacing w:line="300" w:lineRule="auto"/>
              <w:rPr>
                <w:rFonts w:asciiTheme="minorEastAsia" w:eastAsiaTheme="minorEastAsia" w:hAnsiTheme="minorEastAsia" w:hint="eastAsia"/>
              </w:rPr>
            </w:pPr>
            <w:r>
              <w:rPr>
                <w:rFonts w:asciiTheme="minorEastAsia" w:eastAsiaTheme="minorEastAsia" w:hAnsiTheme="minorEastAsia"/>
              </w:rPr>
              <w:t>了解</w:t>
            </w:r>
            <w:r>
              <w:rPr>
                <w:rFonts w:asciiTheme="minorEastAsia" w:eastAsiaTheme="minorEastAsia" w:hAnsiTheme="minorEastAsia" w:hint="eastAsia"/>
              </w:rPr>
              <w:t>“</w:t>
            </w:r>
            <w:r>
              <w:rPr>
                <w:rFonts w:asciiTheme="minorEastAsia" w:eastAsiaTheme="minorEastAsia" w:hAnsiTheme="minorEastAsia"/>
              </w:rPr>
              <w:t>期权</w:t>
            </w:r>
            <w:r>
              <w:rPr>
                <w:rFonts w:asciiTheme="minorEastAsia" w:eastAsiaTheme="minorEastAsia" w:hAnsiTheme="minorEastAsia" w:hint="eastAsia"/>
              </w:rPr>
              <w:t>”</w:t>
            </w:r>
          </w:p>
        </w:tc>
        <w:tc>
          <w:tcPr>
            <w:tcW w:w="1417"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rPr>
              <w:t>期货期权相关知识及操作</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1</w:t>
            </w:r>
          </w:p>
        </w:tc>
      </w:tr>
      <w:tr w:rsidR="001D0AB2">
        <w:trPr>
          <w:cantSplit/>
          <w:trHeight w:val="567"/>
          <w:jc w:val="center"/>
        </w:trPr>
        <w:tc>
          <w:tcPr>
            <w:tcW w:w="992"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7</w:t>
            </w:r>
          </w:p>
        </w:tc>
        <w:tc>
          <w:tcPr>
            <w:tcW w:w="3052"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rPr>
              <w:t>如何做好理财规划</w:t>
            </w:r>
          </w:p>
        </w:tc>
        <w:tc>
          <w:tcPr>
            <w:tcW w:w="1417" w:type="dxa"/>
            <w:vAlign w:val="center"/>
          </w:tcPr>
          <w:p w:rsidR="001D0AB2" w:rsidRDefault="00013C5A">
            <w:pPr>
              <w:spacing w:line="300" w:lineRule="auto"/>
              <w:rPr>
                <w:rFonts w:asciiTheme="minorEastAsia" w:eastAsiaTheme="minorEastAsia" w:hAnsiTheme="minorEastAsia"/>
              </w:rPr>
            </w:pPr>
            <w:r>
              <w:rPr>
                <w:rFonts w:asciiTheme="minorEastAsia" w:eastAsiaTheme="minorEastAsia" w:hAnsiTheme="minorEastAsia"/>
              </w:rPr>
              <w:t>资产配置及理财规划</w:t>
            </w:r>
          </w:p>
        </w:tc>
        <w:tc>
          <w:tcPr>
            <w:tcW w:w="823"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1151"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1D0AB2" w:rsidRDefault="00013C5A">
            <w:pPr>
              <w:spacing w:line="300" w:lineRule="auto"/>
              <w:jc w:val="center"/>
              <w:rPr>
                <w:rFonts w:asciiTheme="minorEastAsia" w:eastAsiaTheme="minorEastAsia" w:hAnsiTheme="minorEastAsia"/>
              </w:rPr>
            </w:pPr>
            <w:r>
              <w:rPr>
                <w:rFonts w:asciiTheme="minorEastAsia" w:eastAsiaTheme="minorEastAsia" w:hAnsiTheme="minorEastAsia"/>
              </w:rPr>
              <w:t>3</w:t>
            </w:r>
          </w:p>
        </w:tc>
      </w:tr>
      <w:tr w:rsidR="00A9785B">
        <w:trPr>
          <w:cantSplit/>
          <w:trHeight w:val="567"/>
          <w:jc w:val="center"/>
        </w:trPr>
        <w:tc>
          <w:tcPr>
            <w:tcW w:w="992" w:type="dxa"/>
            <w:vAlign w:val="center"/>
          </w:tcPr>
          <w:p w:rsidR="00A9785B" w:rsidRDefault="00A9785B">
            <w:pPr>
              <w:spacing w:line="300" w:lineRule="auto"/>
              <w:jc w:val="center"/>
              <w:rPr>
                <w:rFonts w:asciiTheme="minorEastAsia" w:eastAsiaTheme="minorEastAsia" w:hAnsiTheme="minorEastAsia" w:hint="eastAsia"/>
              </w:rPr>
            </w:pPr>
            <w:r>
              <w:rPr>
                <w:rFonts w:asciiTheme="minorEastAsia" w:eastAsiaTheme="minorEastAsia" w:hAnsiTheme="minorEastAsia" w:hint="eastAsia"/>
              </w:rPr>
              <w:lastRenderedPageBreak/>
              <w:t>8</w:t>
            </w:r>
          </w:p>
        </w:tc>
        <w:tc>
          <w:tcPr>
            <w:tcW w:w="3052" w:type="dxa"/>
            <w:vAlign w:val="center"/>
          </w:tcPr>
          <w:p w:rsidR="00A9785B" w:rsidRDefault="00A9785B">
            <w:pPr>
              <w:spacing w:line="300" w:lineRule="auto"/>
              <w:rPr>
                <w:rFonts w:asciiTheme="minorEastAsia" w:eastAsiaTheme="minorEastAsia" w:hAnsiTheme="minorEastAsia"/>
              </w:rPr>
            </w:pPr>
            <w:r w:rsidRPr="00A9785B">
              <w:rPr>
                <w:rFonts w:asciiTheme="minorEastAsia" w:eastAsiaTheme="minorEastAsia" w:hAnsiTheme="minorEastAsia" w:hint="eastAsia"/>
              </w:rPr>
              <w:t>个人财富管理实践与思考</w:t>
            </w:r>
          </w:p>
        </w:tc>
        <w:tc>
          <w:tcPr>
            <w:tcW w:w="1417" w:type="dxa"/>
            <w:vAlign w:val="center"/>
          </w:tcPr>
          <w:p w:rsidR="00A9785B" w:rsidRDefault="00A9785B" w:rsidP="00A9785B">
            <w:pPr>
              <w:spacing w:line="300" w:lineRule="auto"/>
              <w:rPr>
                <w:rFonts w:asciiTheme="minorEastAsia" w:eastAsiaTheme="minorEastAsia" w:hAnsiTheme="minorEastAsia"/>
              </w:rPr>
            </w:pPr>
            <w:r>
              <w:rPr>
                <w:rFonts w:hint="eastAsia"/>
              </w:rPr>
              <w:t>个人及家庭理财富规划的管理</w:t>
            </w:r>
            <w:bookmarkStart w:id="0" w:name="_GoBack"/>
            <w:bookmarkEnd w:id="0"/>
          </w:p>
        </w:tc>
        <w:tc>
          <w:tcPr>
            <w:tcW w:w="823" w:type="dxa"/>
            <w:vAlign w:val="center"/>
          </w:tcPr>
          <w:p w:rsidR="00A9785B" w:rsidRDefault="00A9785B">
            <w:pPr>
              <w:spacing w:line="300" w:lineRule="auto"/>
              <w:jc w:val="center"/>
              <w:rPr>
                <w:rFonts w:asciiTheme="minorEastAsia" w:eastAsiaTheme="minorEastAsia" w:hAnsiTheme="minorEastAsia" w:hint="eastAsia"/>
              </w:rPr>
            </w:pPr>
            <w:r>
              <w:rPr>
                <w:rFonts w:asciiTheme="minorEastAsia" w:eastAsiaTheme="minorEastAsia" w:hAnsiTheme="minorEastAsia" w:hint="eastAsia"/>
              </w:rPr>
              <w:t>2</w:t>
            </w:r>
          </w:p>
        </w:tc>
        <w:tc>
          <w:tcPr>
            <w:tcW w:w="1151" w:type="dxa"/>
            <w:vAlign w:val="center"/>
          </w:tcPr>
          <w:p w:rsidR="00A9785B" w:rsidRDefault="00A9785B">
            <w:pPr>
              <w:spacing w:line="300" w:lineRule="auto"/>
              <w:jc w:val="center"/>
              <w:rPr>
                <w:rFonts w:asciiTheme="minorEastAsia" w:eastAsiaTheme="minorEastAsia" w:hAnsiTheme="minorEastAsia"/>
              </w:rPr>
            </w:pPr>
            <w:r>
              <w:rPr>
                <w:rFonts w:asciiTheme="minorEastAsia" w:eastAsiaTheme="minorEastAsia" w:hAnsiTheme="minorEastAsia"/>
              </w:rPr>
              <w:t>多媒体</w:t>
            </w:r>
          </w:p>
        </w:tc>
        <w:tc>
          <w:tcPr>
            <w:tcW w:w="1400" w:type="dxa"/>
            <w:vAlign w:val="center"/>
          </w:tcPr>
          <w:p w:rsidR="00A9785B" w:rsidRDefault="00A9785B">
            <w:pPr>
              <w:spacing w:line="300" w:lineRule="auto"/>
              <w:jc w:val="center"/>
              <w:rPr>
                <w:rFonts w:asciiTheme="minorEastAsia" w:eastAsiaTheme="minorEastAsia" w:hAnsiTheme="minorEastAsia"/>
              </w:rPr>
            </w:pPr>
            <w:r>
              <w:rPr>
                <w:rFonts w:asciiTheme="minorEastAsia" w:eastAsiaTheme="minorEastAsia" w:hAnsiTheme="minorEastAsia" w:hint="eastAsia"/>
              </w:rPr>
              <w:t>3</w:t>
            </w:r>
          </w:p>
        </w:tc>
      </w:tr>
    </w:tbl>
    <w:p w:rsidR="001D0AB2" w:rsidRDefault="00013C5A">
      <w:pPr>
        <w:spacing w:line="300" w:lineRule="auto"/>
        <w:ind w:firstLineChars="200" w:firstLine="42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注：①教学内容不得按教材章节填写，“对应课程目标”可直接填写课程目标序号，也可对应多个课程目标；②教学方法手段可根据教学内容灵活采取讲授、小组讨论、案例教学、项目教学、翻转教学、情景式教学、线上自学、演讲答辩等形式，以促进目标能力达成；③教学重难点应标出；④课内实验须单独编写实验教学大纲，“教学内容栏”可标注“见本课程实验教学大纲”；⑤课内上机、实践须列入上表；</w:t>
      </w:r>
      <w:r>
        <w:rPr>
          <w:rFonts w:asciiTheme="minorEastAsia" w:eastAsiaTheme="minorEastAsia" w:hAnsiTheme="minorEastAsia"/>
          <w:snapToGrid w:val="0"/>
          <w:szCs w:val="20"/>
        </w:rPr>
        <w:t xml:space="preserve"> </w:t>
      </w:r>
    </w:p>
    <w:p w:rsidR="001D0AB2" w:rsidRDefault="001D0AB2">
      <w:pPr>
        <w:autoSpaceDE w:val="0"/>
        <w:autoSpaceDN w:val="0"/>
        <w:adjustRightInd w:val="0"/>
        <w:snapToGrid w:val="0"/>
        <w:spacing w:line="300" w:lineRule="auto"/>
        <w:ind w:firstLineChars="200" w:firstLine="422"/>
        <w:rPr>
          <w:rFonts w:asciiTheme="minorEastAsia" w:eastAsiaTheme="minorEastAsia" w:hAnsiTheme="minorEastAsia" w:cs="宋体"/>
          <w:b/>
          <w:snapToGrid w:val="0"/>
          <w:kern w:val="0"/>
          <w:szCs w:val="21"/>
        </w:rPr>
      </w:pPr>
    </w:p>
    <w:p w:rsidR="001D0AB2" w:rsidRDefault="00013C5A">
      <w:pPr>
        <w:spacing w:line="300" w:lineRule="auto"/>
        <w:ind w:firstLineChars="200" w:firstLine="482"/>
        <w:rPr>
          <w:b/>
          <w:sz w:val="24"/>
        </w:rPr>
      </w:pPr>
      <w:r>
        <w:rPr>
          <w:rFonts w:hint="eastAsia"/>
          <w:b/>
          <w:sz w:val="24"/>
        </w:rPr>
        <w:t>六、课程考核</w:t>
      </w:r>
    </w:p>
    <w:p w:rsidR="001D0AB2" w:rsidRDefault="00013C5A">
      <w:pPr>
        <w:spacing w:line="300" w:lineRule="auto"/>
        <w:ind w:firstLineChars="200" w:firstLine="42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1. </w:t>
      </w:r>
      <w:r>
        <w:rPr>
          <w:rFonts w:asciiTheme="minorEastAsia" w:eastAsiaTheme="minorEastAsia" w:hAnsiTheme="minorEastAsia" w:hint="eastAsia"/>
          <w:snapToGrid w:val="0"/>
          <w:szCs w:val="20"/>
        </w:rPr>
        <w:t>考核内容（简要说明本课程为</w:t>
      </w:r>
      <w:r>
        <w:rPr>
          <w:rFonts w:asciiTheme="minorEastAsia" w:eastAsiaTheme="minorEastAsia" w:hAnsiTheme="minorEastAsia"/>
          <w:snapToGrid w:val="0"/>
          <w:szCs w:val="20"/>
        </w:rPr>
        <w:t>检验课程目标达成度</w:t>
      </w:r>
      <w:r>
        <w:rPr>
          <w:rFonts w:asciiTheme="minorEastAsia" w:eastAsiaTheme="minorEastAsia" w:hAnsiTheme="minorEastAsia" w:hint="eastAsia"/>
          <w:snapToGrid w:val="0"/>
          <w:szCs w:val="20"/>
        </w:rPr>
        <w:t>和</w:t>
      </w:r>
      <w:r>
        <w:rPr>
          <w:rFonts w:asciiTheme="minorEastAsia" w:eastAsiaTheme="minorEastAsia" w:hAnsiTheme="minorEastAsia"/>
          <w:snapToGrid w:val="0"/>
          <w:szCs w:val="20"/>
        </w:rPr>
        <w:t>评价学生学习成果达成度</w:t>
      </w:r>
      <w:r>
        <w:rPr>
          <w:rFonts w:asciiTheme="minorEastAsia" w:eastAsiaTheme="minorEastAsia" w:hAnsiTheme="minorEastAsia" w:hint="eastAsia"/>
          <w:snapToGrid w:val="0"/>
          <w:szCs w:val="20"/>
        </w:rPr>
        <w:t>应考核的主要内容，考核应包含课内实验、上机、实践）</w:t>
      </w:r>
    </w:p>
    <w:p w:rsidR="001D0AB2" w:rsidRDefault="00013C5A">
      <w:pPr>
        <w:spacing w:line="300" w:lineRule="auto"/>
        <w:ind w:firstLineChars="200" w:firstLine="420"/>
        <w:rPr>
          <w:rFonts w:asciiTheme="minorEastAsia" w:eastAsiaTheme="minorEastAsia" w:hAnsiTheme="minorEastAsia"/>
          <w:snapToGrid w:val="0"/>
          <w:szCs w:val="20"/>
        </w:rPr>
      </w:pPr>
      <w:r>
        <w:rPr>
          <w:rFonts w:asciiTheme="minorEastAsia" w:eastAsiaTheme="minorEastAsia" w:hAnsiTheme="minorEastAsia" w:hint="eastAsia"/>
          <w:snapToGrid w:val="0"/>
          <w:szCs w:val="20"/>
        </w:rPr>
        <w:t xml:space="preserve">2. </w:t>
      </w:r>
      <w:r>
        <w:rPr>
          <w:rFonts w:asciiTheme="minorEastAsia" w:eastAsiaTheme="minorEastAsia" w:hAnsiTheme="minorEastAsia" w:hint="eastAsia"/>
          <w:snapToGrid w:val="0"/>
          <w:szCs w:val="20"/>
        </w:rPr>
        <w:t>考核环节及评价标准</w:t>
      </w:r>
    </w:p>
    <w:p w:rsidR="001D0AB2" w:rsidRDefault="00013C5A">
      <w:pPr>
        <w:spacing w:line="300" w:lineRule="auto"/>
        <w:ind w:firstLineChars="200" w:firstLine="420"/>
        <w:rPr>
          <w:rFonts w:asciiTheme="minorEastAsia" w:eastAsiaTheme="minorEastAsia" w:hAnsiTheme="minorEastAsia"/>
          <w:snapToGrid w:val="0"/>
          <w:szCs w:val="20"/>
        </w:rPr>
      </w:pPr>
      <w:r>
        <w:rPr>
          <w:rFonts w:asciiTheme="minorEastAsia" w:eastAsiaTheme="minorEastAsia" w:hAnsiTheme="minorEastAsia"/>
          <w:snapToGrid w:val="0"/>
          <w:szCs w:val="20"/>
        </w:rPr>
        <w:t>考核环节包括</w:t>
      </w:r>
      <w:r>
        <w:rPr>
          <w:rFonts w:asciiTheme="minorEastAsia" w:eastAsiaTheme="minorEastAsia" w:hAnsiTheme="minorEastAsia" w:hint="eastAsia"/>
          <w:snapToGrid w:val="0"/>
          <w:szCs w:val="20"/>
        </w:rPr>
        <w:t>过程</w:t>
      </w:r>
      <w:r>
        <w:rPr>
          <w:rFonts w:asciiTheme="minorEastAsia" w:eastAsiaTheme="minorEastAsia" w:hAnsiTheme="minorEastAsia"/>
          <w:snapToGrid w:val="0"/>
          <w:szCs w:val="20"/>
        </w:rPr>
        <w:t>考核和</w:t>
      </w:r>
      <w:r>
        <w:rPr>
          <w:rFonts w:asciiTheme="minorEastAsia" w:eastAsiaTheme="minorEastAsia" w:hAnsiTheme="minorEastAsia" w:hint="eastAsia"/>
          <w:snapToGrid w:val="0"/>
          <w:szCs w:val="20"/>
        </w:rPr>
        <w:t>终结性</w:t>
      </w:r>
      <w:r>
        <w:rPr>
          <w:rFonts w:asciiTheme="minorEastAsia" w:eastAsiaTheme="minorEastAsia" w:hAnsiTheme="minorEastAsia"/>
          <w:snapToGrid w:val="0"/>
          <w:szCs w:val="20"/>
        </w:rPr>
        <w:t>考核，</w:t>
      </w:r>
      <w:r>
        <w:rPr>
          <w:rFonts w:asciiTheme="minorEastAsia" w:eastAsiaTheme="minorEastAsia" w:hAnsiTheme="minorEastAsia" w:hint="eastAsia"/>
          <w:snapToGrid w:val="0"/>
          <w:szCs w:val="20"/>
        </w:rPr>
        <w:t>其中过程考核（含课内实验、上机、实践）占</w:t>
      </w:r>
      <w:r>
        <w:rPr>
          <w:rFonts w:asciiTheme="minorEastAsia" w:eastAsiaTheme="minorEastAsia" w:hAnsiTheme="minorEastAsia" w:hint="eastAsia"/>
          <w:snapToGrid w:val="0"/>
          <w:szCs w:val="20"/>
          <w:u w:val="single"/>
        </w:rPr>
        <w:t xml:space="preserve"> </w:t>
      </w:r>
      <w:r>
        <w:rPr>
          <w:rFonts w:asciiTheme="minorEastAsia" w:eastAsiaTheme="minorEastAsia" w:hAnsiTheme="minorEastAsia"/>
          <w:snapToGrid w:val="0"/>
          <w:szCs w:val="20"/>
          <w:u w:val="single"/>
        </w:rPr>
        <w:t>30</w:t>
      </w:r>
      <w:r>
        <w:rPr>
          <w:rFonts w:asciiTheme="minorEastAsia" w:eastAsiaTheme="minorEastAsia" w:hAnsiTheme="minorEastAsia" w:hint="eastAsia"/>
          <w:snapToGrid w:val="0"/>
          <w:szCs w:val="20"/>
          <w:u w:val="single"/>
        </w:rPr>
        <w:t xml:space="preserve"> </w:t>
      </w:r>
      <w:r>
        <w:rPr>
          <w:rFonts w:asciiTheme="minorEastAsia" w:eastAsiaTheme="minorEastAsia" w:hAnsiTheme="minorEastAsia" w:hint="eastAsia"/>
          <w:snapToGrid w:val="0"/>
          <w:szCs w:val="20"/>
        </w:rPr>
        <w:t>%</w:t>
      </w:r>
      <w:r>
        <w:rPr>
          <w:rFonts w:asciiTheme="minorEastAsia" w:eastAsiaTheme="minorEastAsia" w:hAnsiTheme="minorEastAsia" w:hint="eastAsia"/>
          <w:snapToGrid w:val="0"/>
          <w:szCs w:val="20"/>
        </w:rPr>
        <w:t>，终结性考核占</w:t>
      </w:r>
      <w:r>
        <w:rPr>
          <w:rFonts w:asciiTheme="minorEastAsia" w:eastAsiaTheme="minorEastAsia" w:hAnsiTheme="minorEastAsia" w:hint="eastAsia"/>
          <w:snapToGrid w:val="0"/>
          <w:szCs w:val="20"/>
          <w:u w:val="single"/>
        </w:rPr>
        <w:t xml:space="preserve"> </w:t>
      </w:r>
      <w:r>
        <w:rPr>
          <w:rFonts w:asciiTheme="minorEastAsia" w:eastAsiaTheme="minorEastAsia" w:hAnsiTheme="minorEastAsia"/>
          <w:snapToGrid w:val="0"/>
          <w:szCs w:val="20"/>
          <w:u w:val="single"/>
        </w:rPr>
        <w:t>70</w:t>
      </w:r>
      <w:r>
        <w:rPr>
          <w:rFonts w:asciiTheme="minorEastAsia" w:eastAsiaTheme="minorEastAsia" w:hAnsiTheme="minorEastAsia" w:hint="eastAsia"/>
          <w:snapToGrid w:val="0"/>
          <w:szCs w:val="20"/>
          <w:u w:val="single"/>
        </w:rPr>
        <w:t xml:space="preserve"> </w:t>
      </w:r>
      <w:r>
        <w:rPr>
          <w:rFonts w:asciiTheme="minorEastAsia" w:eastAsiaTheme="minorEastAsia" w:hAnsiTheme="minorEastAsia" w:hint="eastAsia"/>
          <w:snapToGrid w:val="0"/>
          <w:szCs w:val="20"/>
        </w:rPr>
        <w:t>%</w:t>
      </w:r>
      <w:r>
        <w:rPr>
          <w:rFonts w:asciiTheme="minorEastAsia" w:eastAsiaTheme="minorEastAsia" w:hAnsiTheme="minorEastAsia" w:hint="eastAsia"/>
          <w:snapToGrid w:val="0"/>
          <w:szCs w:val="20"/>
        </w:rPr>
        <w:t>。</w:t>
      </w:r>
      <w:r>
        <w:rPr>
          <w:rFonts w:asciiTheme="minorEastAsia" w:eastAsiaTheme="minorEastAsia" w:hAnsiTheme="minorEastAsia"/>
          <w:snapToGrid w:val="0"/>
          <w:szCs w:val="20"/>
        </w:rPr>
        <w:t>总评成绩以百分计，满分</w:t>
      </w:r>
      <w:r>
        <w:rPr>
          <w:rFonts w:asciiTheme="minorEastAsia" w:eastAsiaTheme="minorEastAsia" w:hAnsiTheme="minorEastAsia"/>
          <w:snapToGrid w:val="0"/>
          <w:szCs w:val="20"/>
        </w:rPr>
        <w:t>100</w:t>
      </w:r>
      <w:r>
        <w:rPr>
          <w:rFonts w:asciiTheme="minorEastAsia" w:eastAsiaTheme="minorEastAsia" w:hAnsiTheme="minorEastAsia"/>
          <w:snapToGrid w:val="0"/>
          <w:szCs w:val="20"/>
        </w:rPr>
        <w:t>分。各考核环节</w:t>
      </w:r>
      <w:r>
        <w:rPr>
          <w:rFonts w:asciiTheme="minorEastAsia" w:eastAsiaTheme="minorEastAsia" w:hAnsiTheme="minorEastAsia" w:hint="eastAsia"/>
          <w:snapToGrid w:val="0"/>
          <w:szCs w:val="20"/>
        </w:rPr>
        <w:t>建议占比见下表，具体执行</w:t>
      </w:r>
      <w:r>
        <w:rPr>
          <w:rFonts w:asciiTheme="minorEastAsia" w:eastAsiaTheme="minorEastAsia" w:hAnsiTheme="minorEastAsia"/>
          <w:snapToGrid w:val="0"/>
          <w:szCs w:val="20"/>
        </w:rPr>
        <w:t>可据</w:t>
      </w:r>
      <w:r>
        <w:rPr>
          <w:rFonts w:asciiTheme="minorEastAsia" w:eastAsiaTheme="minorEastAsia" w:hAnsiTheme="minorEastAsia" w:hint="eastAsia"/>
          <w:snapToGrid w:val="0"/>
          <w:szCs w:val="20"/>
        </w:rPr>
        <w:t>实际进行</w:t>
      </w:r>
      <w:r>
        <w:rPr>
          <w:rFonts w:asciiTheme="minorEastAsia" w:eastAsiaTheme="minorEastAsia" w:hAnsiTheme="minorEastAsia"/>
          <w:snapToGrid w:val="0"/>
          <w:szCs w:val="20"/>
        </w:rPr>
        <w:t>微调。</w:t>
      </w:r>
    </w:p>
    <w:tbl>
      <w:tblPr>
        <w:tblStyle w:val="a7"/>
        <w:tblW w:w="8930" w:type="dxa"/>
        <w:jc w:val="center"/>
        <w:tblLayout w:type="fixed"/>
        <w:tblLook w:val="04A0" w:firstRow="1" w:lastRow="0" w:firstColumn="1" w:lastColumn="0" w:noHBand="0" w:noVBand="1"/>
      </w:tblPr>
      <w:tblGrid>
        <w:gridCol w:w="709"/>
        <w:gridCol w:w="724"/>
        <w:gridCol w:w="835"/>
        <w:gridCol w:w="709"/>
        <w:gridCol w:w="4536"/>
        <w:gridCol w:w="1417"/>
      </w:tblGrid>
      <w:tr w:rsidR="001D0AB2">
        <w:trPr>
          <w:trHeight w:val="567"/>
          <w:jc w:val="center"/>
        </w:trPr>
        <w:tc>
          <w:tcPr>
            <w:tcW w:w="709" w:type="dxa"/>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考核</w:t>
            </w:r>
          </w:p>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类型</w:t>
            </w:r>
          </w:p>
        </w:tc>
        <w:tc>
          <w:tcPr>
            <w:tcW w:w="2268" w:type="dxa"/>
            <w:gridSpan w:val="3"/>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建议</w:t>
            </w:r>
            <w:r>
              <w:rPr>
                <w:rFonts w:asciiTheme="minorEastAsia" w:eastAsiaTheme="minorEastAsia" w:hAnsiTheme="minorEastAsia" w:hint="eastAsia"/>
                <w:szCs w:val="21"/>
              </w:rPr>
              <w:t>占比</w:t>
            </w:r>
          </w:p>
        </w:tc>
        <w:tc>
          <w:tcPr>
            <w:tcW w:w="4536" w:type="dxa"/>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考核</w:t>
            </w:r>
            <w:r>
              <w:rPr>
                <w:rFonts w:asciiTheme="minorEastAsia" w:eastAsiaTheme="minorEastAsia" w:hAnsiTheme="minorEastAsia"/>
                <w:szCs w:val="21"/>
              </w:rPr>
              <w:t>/</w:t>
            </w:r>
            <w:r>
              <w:rPr>
                <w:rFonts w:asciiTheme="minorEastAsia" w:eastAsiaTheme="minorEastAsia" w:hAnsiTheme="minorEastAsia"/>
                <w:szCs w:val="21"/>
              </w:rPr>
              <w:t>评价</w:t>
            </w:r>
            <w:r>
              <w:rPr>
                <w:rFonts w:asciiTheme="minorEastAsia" w:eastAsiaTheme="minorEastAsia" w:hAnsiTheme="minorEastAsia" w:hint="eastAsia"/>
                <w:szCs w:val="21"/>
              </w:rPr>
              <w:t>标准</w:t>
            </w:r>
          </w:p>
        </w:tc>
        <w:tc>
          <w:tcPr>
            <w:tcW w:w="1417" w:type="dxa"/>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对应</w:t>
            </w:r>
          </w:p>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hint="eastAsia"/>
                <w:color w:val="FF0000"/>
              </w:rPr>
              <w:t>学习</w:t>
            </w:r>
            <w:r>
              <w:rPr>
                <w:rFonts w:asciiTheme="minorEastAsia" w:eastAsiaTheme="minorEastAsia" w:hAnsiTheme="minorEastAsia"/>
                <w:szCs w:val="21"/>
              </w:rPr>
              <w:t>目标</w:t>
            </w:r>
          </w:p>
        </w:tc>
      </w:tr>
      <w:tr w:rsidR="001D0AB2">
        <w:trPr>
          <w:trHeight w:val="567"/>
          <w:jc w:val="center"/>
        </w:trPr>
        <w:tc>
          <w:tcPr>
            <w:tcW w:w="709" w:type="dxa"/>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过程</w:t>
            </w:r>
          </w:p>
          <w:p w:rsidR="001D0AB2" w:rsidRDefault="00013C5A">
            <w:pPr>
              <w:jc w:val="center"/>
            </w:pPr>
            <w:r>
              <w:rPr>
                <w:rFonts w:asciiTheme="minorEastAsia" w:eastAsiaTheme="minorEastAsia" w:hAnsiTheme="minorEastAsia"/>
                <w:szCs w:val="21"/>
              </w:rPr>
              <w:t>考核</w:t>
            </w:r>
          </w:p>
        </w:tc>
        <w:tc>
          <w:tcPr>
            <w:tcW w:w="724" w:type="dxa"/>
            <w:vAlign w:val="center"/>
          </w:tcPr>
          <w:p w:rsidR="001D0AB2" w:rsidRDefault="00013C5A">
            <w:pPr>
              <w:spacing w:line="300" w:lineRule="auto"/>
              <w:jc w:val="center"/>
              <w:rPr>
                <w:rFonts w:asciiTheme="minorEastAsia" w:eastAsiaTheme="minorEastAsia" w:hAnsiTheme="minorEastAsia"/>
                <w:snapToGrid w:val="0"/>
                <w:szCs w:val="21"/>
              </w:rPr>
            </w:pPr>
            <w:r>
              <w:rPr>
                <w:rFonts w:asciiTheme="minorEastAsia" w:eastAsiaTheme="minorEastAsia" w:hAnsiTheme="minorEastAsia"/>
                <w:snapToGrid w:val="0"/>
                <w:szCs w:val="21"/>
              </w:rPr>
              <w:t>30</w:t>
            </w:r>
            <w:r>
              <w:rPr>
                <w:rFonts w:asciiTheme="minorEastAsia" w:eastAsiaTheme="minorEastAsia" w:hAnsiTheme="minorEastAsia" w:hint="eastAsia"/>
                <w:snapToGrid w:val="0"/>
                <w:szCs w:val="21"/>
              </w:rPr>
              <w:t>%</w:t>
            </w:r>
          </w:p>
        </w:tc>
        <w:tc>
          <w:tcPr>
            <w:tcW w:w="835" w:type="dxa"/>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出勤</w:t>
            </w:r>
          </w:p>
        </w:tc>
        <w:tc>
          <w:tcPr>
            <w:tcW w:w="709" w:type="dxa"/>
            <w:vAlign w:val="center"/>
          </w:tcPr>
          <w:p w:rsidR="001D0AB2" w:rsidRDefault="00013C5A">
            <w:pPr>
              <w:spacing w:line="360" w:lineRule="auto"/>
              <w:jc w:val="center"/>
              <w:rPr>
                <w:rFonts w:asciiTheme="minorEastAsia" w:eastAsiaTheme="minorEastAsia" w:hAnsiTheme="minorEastAsia"/>
                <w:szCs w:val="21"/>
              </w:rPr>
            </w:pPr>
            <w:r>
              <w:rPr>
                <w:rFonts w:asciiTheme="minorEastAsia" w:eastAsiaTheme="minorEastAsia" w:hAnsiTheme="minorEastAsia"/>
                <w:snapToGrid w:val="0"/>
                <w:szCs w:val="21"/>
              </w:rPr>
              <w:t>30</w:t>
            </w:r>
            <w:r>
              <w:rPr>
                <w:rFonts w:asciiTheme="minorEastAsia" w:eastAsiaTheme="minorEastAsia" w:hAnsiTheme="minorEastAsia" w:hint="eastAsia"/>
                <w:snapToGrid w:val="0"/>
                <w:szCs w:val="21"/>
              </w:rPr>
              <w:t>%</w:t>
            </w:r>
          </w:p>
        </w:tc>
        <w:tc>
          <w:tcPr>
            <w:tcW w:w="4536" w:type="dxa"/>
            <w:vAlign w:val="center"/>
          </w:tcPr>
          <w:p w:rsidR="001D0AB2" w:rsidRDefault="00013C5A">
            <w:pPr>
              <w:spacing w:line="300" w:lineRule="auto"/>
              <w:rPr>
                <w:rFonts w:asciiTheme="minorEastAsia" w:eastAsiaTheme="minorEastAsia" w:hAnsiTheme="minorEastAsia"/>
                <w:szCs w:val="21"/>
              </w:rPr>
            </w:pPr>
            <w:r>
              <w:rPr>
                <w:rFonts w:asciiTheme="minorEastAsia" w:eastAsiaTheme="minorEastAsia" w:hAnsiTheme="minorEastAsia"/>
                <w:szCs w:val="21"/>
              </w:rPr>
              <w:t>考核学生日常出勤率及课堂综合表现</w:t>
            </w:r>
          </w:p>
        </w:tc>
        <w:tc>
          <w:tcPr>
            <w:tcW w:w="1417" w:type="dxa"/>
            <w:vAlign w:val="center"/>
          </w:tcPr>
          <w:p w:rsidR="001D0AB2" w:rsidRDefault="00013C5A">
            <w:pPr>
              <w:spacing w:line="300" w:lineRule="auto"/>
              <w:jc w:val="left"/>
              <w:rPr>
                <w:rFonts w:asciiTheme="minorEastAsia" w:eastAsiaTheme="minorEastAsia" w:hAnsiTheme="minorEastAsia"/>
                <w:szCs w:val="21"/>
              </w:rPr>
            </w:pPr>
            <w:r>
              <w:rPr>
                <w:rFonts w:asciiTheme="minorEastAsia" w:eastAsiaTheme="minorEastAsia" w:hAnsiTheme="minorEastAsia"/>
                <w:szCs w:val="21"/>
              </w:rPr>
              <w:t>端正学习态度</w:t>
            </w:r>
          </w:p>
        </w:tc>
      </w:tr>
      <w:tr w:rsidR="001D0AB2">
        <w:trPr>
          <w:trHeight w:val="567"/>
          <w:jc w:val="center"/>
        </w:trPr>
        <w:tc>
          <w:tcPr>
            <w:tcW w:w="709" w:type="dxa"/>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cs="宋体" w:hint="eastAsia"/>
                <w:snapToGrid w:val="0"/>
                <w:kern w:val="0"/>
                <w:szCs w:val="21"/>
                <w:lang w:val="zh-CN"/>
              </w:rPr>
              <w:t>终结性考核</w:t>
            </w:r>
          </w:p>
        </w:tc>
        <w:tc>
          <w:tcPr>
            <w:tcW w:w="2268" w:type="dxa"/>
            <w:gridSpan w:val="3"/>
            <w:vAlign w:val="center"/>
          </w:tcPr>
          <w:p w:rsidR="001D0AB2" w:rsidRDefault="00013C5A">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70</w:t>
            </w:r>
            <w:r>
              <w:rPr>
                <w:rFonts w:asciiTheme="minorEastAsia" w:eastAsiaTheme="minorEastAsia" w:hAnsiTheme="minorEastAsia" w:hint="eastAsia"/>
                <w:szCs w:val="21"/>
              </w:rPr>
              <w:t>%</w:t>
            </w:r>
          </w:p>
        </w:tc>
        <w:tc>
          <w:tcPr>
            <w:tcW w:w="4536" w:type="dxa"/>
            <w:vAlign w:val="center"/>
          </w:tcPr>
          <w:p w:rsidR="001D0AB2" w:rsidRDefault="00013C5A">
            <w:pPr>
              <w:spacing w:line="300" w:lineRule="auto"/>
              <w:rPr>
                <w:rFonts w:asciiTheme="minorEastAsia" w:eastAsiaTheme="minorEastAsia" w:hAnsiTheme="minorEastAsia"/>
                <w:szCs w:val="21"/>
              </w:rPr>
            </w:pPr>
            <w:r>
              <w:rPr>
                <w:rFonts w:asciiTheme="minorEastAsia" w:eastAsiaTheme="minorEastAsia" w:hAnsiTheme="minorEastAsia"/>
                <w:szCs w:val="21"/>
              </w:rPr>
              <w:t>知识点测验</w:t>
            </w:r>
            <w:r>
              <w:rPr>
                <w:rFonts w:asciiTheme="minorEastAsia" w:eastAsiaTheme="minorEastAsia" w:hAnsiTheme="minorEastAsia" w:hint="eastAsia"/>
                <w:szCs w:val="21"/>
              </w:rPr>
              <w:t>+</w:t>
            </w:r>
            <w:r>
              <w:rPr>
                <w:rFonts w:asciiTheme="minorEastAsia" w:eastAsiaTheme="minorEastAsia" w:hAnsiTheme="minorEastAsia"/>
                <w:szCs w:val="21"/>
              </w:rPr>
              <w:t>小论文的形式</w:t>
            </w:r>
            <w:r>
              <w:rPr>
                <w:rFonts w:asciiTheme="minorEastAsia" w:eastAsiaTheme="minorEastAsia" w:hAnsiTheme="minorEastAsia" w:hint="eastAsia"/>
                <w:szCs w:val="21"/>
              </w:rPr>
              <w:t>，从对知识的掌握程度及综合运用等角度考核学生</w:t>
            </w:r>
          </w:p>
        </w:tc>
        <w:tc>
          <w:tcPr>
            <w:tcW w:w="1417" w:type="dxa"/>
            <w:vAlign w:val="center"/>
          </w:tcPr>
          <w:p w:rsidR="001D0AB2" w:rsidRDefault="00013C5A">
            <w:pPr>
              <w:spacing w:line="300" w:lineRule="auto"/>
              <w:jc w:val="left"/>
              <w:rPr>
                <w:rFonts w:asciiTheme="minorEastAsia" w:eastAsiaTheme="minorEastAsia" w:hAnsiTheme="minorEastAsia"/>
                <w:szCs w:val="21"/>
              </w:rPr>
            </w:pPr>
            <w:r>
              <w:rPr>
                <w:rFonts w:asciiTheme="minorEastAsia" w:eastAsiaTheme="minorEastAsia" w:hAnsiTheme="minorEastAsia"/>
                <w:szCs w:val="21"/>
              </w:rPr>
              <w:t>掌握金融基础知识并加深理解和运用</w:t>
            </w:r>
          </w:p>
        </w:tc>
      </w:tr>
    </w:tbl>
    <w:p w:rsidR="001D0AB2" w:rsidRDefault="00013C5A">
      <w:pPr>
        <w:spacing w:line="300" w:lineRule="auto"/>
        <w:ind w:firstLineChars="200" w:firstLine="420"/>
      </w:pPr>
      <w:r>
        <w:rPr>
          <w:rFonts w:hint="eastAsia"/>
        </w:rPr>
        <w:t>注：①过程考核</w:t>
      </w:r>
      <w:r>
        <w:t>一般可占总评成绩的</w:t>
      </w:r>
      <w:r>
        <w:t>40%</w:t>
      </w:r>
      <w:r>
        <w:t>～</w:t>
      </w:r>
      <w:r>
        <w:t>60%</w:t>
      </w:r>
      <w:r>
        <w:rPr>
          <w:rFonts w:hint="eastAsia"/>
        </w:rPr>
        <w:t>，参与型在过程考核中的权重占比不得高于</w:t>
      </w:r>
      <w:r>
        <w:rPr>
          <w:rFonts w:hint="eastAsia"/>
        </w:rPr>
        <w:t>30%</w:t>
      </w:r>
      <w:r>
        <w:rPr>
          <w:rFonts w:hint="eastAsia"/>
        </w:rPr>
        <w:t>，课程</w:t>
      </w:r>
      <w:r>
        <w:t>实验</w:t>
      </w:r>
      <w:r>
        <w:rPr>
          <w:rFonts w:hint="eastAsia"/>
        </w:rPr>
        <w:t>（课内）考核</w:t>
      </w:r>
      <w:r>
        <w:t>一般可占</w:t>
      </w:r>
      <w:r>
        <w:rPr>
          <w:rFonts w:hint="eastAsia"/>
        </w:rPr>
        <w:t>课程</w:t>
      </w:r>
      <w:r>
        <w:t>总成绩的</w:t>
      </w:r>
      <w:r>
        <w:t>10%</w:t>
      </w:r>
      <w:r>
        <w:t>～</w:t>
      </w:r>
      <w:r>
        <w:t>20%</w:t>
      </w:r>
      <w:r>
        <w:rPr>
          <w:rFonts w:hint="eastAsia"/>
        </w:rPr>
        <w:t>（</w:t>
      </w:r>
      <w:r>
        <w:t>同一门课程多位教师主讲的由课程负责人统一规定</w:t>
      </w:r>
      <w:r>
        <w:rPr>
          <w:rFonts w:hint="eastAsia"/>
        </w:rPr>
        <w:t>）；②</w:t>
      </w:r>
      <w:r>
        <w:t>可采用</w:t>
      </w:r>
      <w:r>
        <w:t>“</w:t>
      </w:r>
      <w:r>
        <w:t>出勤</w:t>
      </w:r>
      <w:r>
        <w:t>+”</w:t>
      </w:r>
      <w:r>
        <w:t>形式考核，将学生出勤与小论文、多作业、测练、小组讨论汇报、在线学习、社会调查</w:t>
      </w:r>
      <w:r>
        <w:rPr>
          <w:rFonts w:hint="eastAsia"/>
        </w:rPr>
        <w:t>、</w:t>
      </w:r>
      <w:r>
        <w:t>实验</w:t>
      </w:r>
      <w:r>
        <w:rPr>
          <w:rFonts w:hint="eastAsia"/>
        </w:rPr>
        <w:t>、</w:t>
      </w:r>
      <w:r>
        <w:t>上机、实践等相结合</w:t>
      </w:r>
      <w:r>
        <w:rPr>
          <w:rFonts w:hint="eastAsia"/>
        </w:rPr>
        <w:t>；③“对应课程目标”栏可直接填课程目标序号，也可对应多个课程目标。</w:t>
      </w:r>
    </w:p>
    <w:p w:rsidR="001D0AB2" w:rsidRDefault="001D0AB2">
      <w:pPr>
        <w:spacing w:line="300" w:lineRule="auto"/>
        <w:ind w:firstLineChars="200" w:firstLine="420"/>
      </w:pPr>
    </w:p>
    <w:p w:rsidR="001D0AB2" w:rsidRDefault="00013C5A">
      <w:pPr>
        <w:spacing w:line="300" w:lineRule="auto"/>
        <w:ind w:firstLineChars="200" w:firstLine="482"/>
      </w:pPr>
      <w:r>
        <w:rPr>
          <w:rFonts w:hint="eastAsia"/>
          <w:b/>
          <w:sz w:val="24"/>
        </w:rPr>
        <w:t>七、课外学习要求</w:t>
      </w:r>
      <w:r>
        <w:rPr>
          <w:rFonts w:hint="eastAsia"/>
        </w:rPr>
        <w:t>（包括课外阅读、调查研究、社会实践、查找文献等任务的说明和要求）</w:t>
      </w:r>
    </w:p>
    <w:p w:rsidR="001D0AB2" w:rsidRDefault="00013C5A">
      <w:pPr>
        <w:spacing w:line="300" w:lineRule="auto"/>
        <w:ind w:firstLineChars="200" w:firstLine="420"/>
      </w:pPr>
      <w:r>
        <w:t>结合当时市场行情及热点</w:t>
      </w:r>
      <w:r>
        <w:rPr>
          <w:rFonts w:hint="eastAsia"/>
        </w:rPr>
        <w:t>，</w:t>
      </w:r>
      <w:r>
        <w:t>组织学生开展针对重点案例的研究和解析</w:t>
      </w:r>
      <w:r>
        <w:rPr>
          <w:rFonts w:hint="eastAsia"/>
        </w:rPr>
        <w:t>。</w:t>
      </w:r>
    </w:p>
    <w:p w:rsidR="001D0AB2" w:rsidRDefault="00013C5A">
      <w:pPr>
        <w:spacing w:line="300" w:lineRule="auto"/>
        <w:ind w:firstLineChars="200" w:firstLine="482"/>
        <w:rPr>
          <w:b/>
          <w:sz w:val="24"/>
        </w:rPr>
      </w:pPr>
      <w:r>
        <w:rPr>
          <w:rFonts w:hint="eastAsia"/>
          <w:b/>
          <w:sz w:val="24"/>
        </w:rPr>
        <w:t>八、审核</w:t>
      </w:r>
    </w:p>
    <w:p w:rsidR="001D0AB2" w:rsidRDefault="00013C5A">
      <w:pPr>
        <w:spacing w:line="300" w:lineRule="auto"/>
        <w:ind w:firstLineChars="200" w:firstLine="420"/>
      </w:pPr>
      <w:r>
        <w:rPr>
          <w:rFonts w:hint="eastAsia"/>
        </w:rPr>
        <w:t xml:space="preserve">     </w:t>
      </w:r>
      <w:r>
        <w:rPr>
          <w:rFonts w:hint="eastAsia"/>
        </w:rPr>
        <w:t>执笔人：</w:t>
      </w:r>
      <w:r>
        <w:rPr>
          <w:rFonts w:hint="eastAsia"/>
        </w:rPr>
        <w:tab/>
        <w:t xml:space="preserve">        </w:t>
      </w:r>
      <w:r>
        <w:t xml:space="preserve">      </w:t>
      </w:r>
      <w:r>
        <w:rPr>
          <w:rFonts w:hint="eastAsia"/>
        </w:rPr>
        <w:t>审核人：</w:t>
      </w:r>
      <w:r>
        <w:rPr>
          <w:rFonts w:hint="eastAsia"/>
        </w:rPr>
        <w:t xml:space="preserve">               </w:t>
      </w:r>
      <w:r>
        <w:t xml:space="preserve">   </w:t>
      </w:r>
      <w:r>
        <w:rPr>
          <w:rFonts w:hint="eastAsia"/>
        </w:rPr>
        <w:t>审定</w:t>
      </w:r>
      <w:r>
        <w:t>人：</w:t>
      </w:r>
    </w:p>
    <w:p w:rsidR="001D0AB2" w:rsidRDefault="001D0AB2">
      <w:pPr>
        <w:autoSpaceDE w:val="0"/>
        <w:autoSpaceDN w:val="0"/>
        <w:adjustRightInd w:val="0"/>
        <w:snapToGrid w:val="0"/>
        <w:spacing w:line="300" w:lineRule="auto"/>
        <w:ind w:firstLineChars="200" w:firstLine="482"/>
        <w:rPr>
          <w:rFonts w:asciiTheme="minorEastAsia" w:eastAsiaTheme="minorEastAsia" w:hAnsiTheme="minorEastAsia" w:cs="宋体"/>
          <w:b/>
          <w:snapToGrid w:val="0"/>
          <w:kern w:val="0"/>
          <w:sz w:val="24"/>
        </w:rPr>
      </w:pPr>
    </w:p>
    <w:p w:rsidR="001D0AB2" w:rsidRDefault="00013C5A">
      <w:pPr>
        <w:pStyle w:val="a6"/>
        <w:widowControl w:val="0"/>
        <w:adjustRightInd w:val="0"/>
        <w:snapToGrid w:val="0"/>
        <w:spacing w:before="0" w:beforeAutospacing="0" w:after="0" w:afterAutospacing="0" w:line="300" w:lineRule="auto"/>
        <w:ind w:firstLineChars="250" w:firstLine="602"/>
        <w:jc w:val="both"/>
        <w:rPr>
          <w:rFonts w:asciiTheme="minorEastAsia" w:eastAsiaTheme="minorEastAsia" w:hAnsiTheme="minorEastAsia"/>
        </w:rPr>
      </w:pPr>
      <w:r>
        <w:rPr>
          <w:rFonts w:asciiTheme="minorEastAsia" w:eastAsiaTheme="minorEastAsia" w:hAnsiTheme="minorEastAsia" w:hint="eastAsia"/>
          <w:b/>
          <w:snapToGrid w:val="0"/>
        </w:rPr>
        <w:t>提示：版面字体要求如下：</w:t>
      </w:r>
      <w:r>
        <w:rPr>
          <w:rFonts w:asciiTheme="minorEastAsia" w:eastAsiaTheme="minorEastAsia" w:hAnsiTheme="minorEastAsia" w:hint="eastAsia"/>
          <w:sz w:val="21"/>
          <w:szCs w:val="21"/>
        </w:rPr>
        <w:t>采用</w:t>
      </w:r>
      <w:r>
        <w:rPr>
          <w:rFonts w:asciiTheme="minorEastAsia" w:eastAsiaTheme="minorEastAsia" w:hAnsiTheme="minorEastAsia" w:hint="eastAsia"/>
          <w:sz w:val="21"/>
          <w:szCs w:val="21"/>
        </w:rPr>
        <w:t>A4</w:t>
      </w:r>
      <w:r>
        <w:rPr>
          <w:rFonts w:asciiTheme="minorEastAsia" w:eastAsiaTheme="minorEastAsia" w:hAnsiTheme="minorEastAsia" w:hint="eastAsia"/>
          <w:sz w:val="21"/>
          <w:szCs w:val="21"/>
        </w:rPr>
        <w:t>纸张，标题宋体小</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号加粗、居中；小标题宋体小四加粗；正文宋体</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号。首行缩进</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个汉字符；页边距</w:t>
      </w:r>
      <w:r>
        <w:rPr>
          <w:rFonts w:asciiTheme="minorEastAsia" w:eastAsiaTheme="minorEastAsia" w:hAnsiTheme="minorEastAsia" w:hint="eastAsia"/>
          <w:sz w:val="21"/>
          <w:szCs w:val="21"/>
          <w:lang w:val="zh-CN"/>
        </w:rPr>
        <w:t>左为</w:t>
      </w:r>
      <w:r>
        <w:rPr>
          <w:rFonts w:asciiTheme="minorEastAsia" w:eastAsiaTheme="minorEastAsia" w:hAnsiTheme="minorEastAsia" w:hint="eastAsia"/>
          <w:sz w:val="21"/>
          <w:szCs w:val="21"/>
          <w:lang w:val="zh-CN"/>
        </w:rPr>
        <w:t>2.6cm</w:t>
      </w:r>
      <w:r>
        <w:rPr>
          <w:rFonts w:asciiTheme="minorEastAsia" w:eastAsiaTheme="minorEastAsia" w:hAnsiTheme="minorEastAsia" w:hint="eastAsia"/>
          <w:sz w:val="21"/>
          <w:szCs w:val="21"/>
          <w:lang w:val="zh-CN"/>
        </w:rPr>
        <w:t>，右为：</w:t>
      </w:r>
      <w:r>
        <w:rPr>
          <w:rFonts w:asciiTheme="minorEastAsia" w:eastAsiaTheme="minorEastAsia" w:hAnsiTheme="minorEastAsia" w:hint="eastAsia"/>
          <w:sz w:val="21"/>
          <w:szCs w:val="21"/>
          <w:lang w:val="zh-CN"/>
        </w:rPr>
        <w:t>2.2cm</w:t>
      </w:r>
      <w:r>
        <w:rPr>
          <w:rFonts w:asciiTheme="minorEastAsia" w:eastAsiaTheme="minorEastAsia" w:hAnsiTheme="minorEastAsia" w:hint="eastAsia"/>
          <w:sz w:val="21"/>
          <w:szCs w:val="21"/>
          <w:lang w:val="zh-CN"/>
        </w:rPr>
        <w:t>；</w:t>
      </w:r>
      <w:r>
        <w:rPr>
          <w:rFonts w:asciiTheme="minorEastAsia" w:eastAsiaTheme="minorEastAsia" w:hAnsiTheme="minorEastAsia" w:hint="eastAsia"/>
          <w:sz w:val="21"/>
          <w:szCs w:val="21"/>
        </w:rPr>
        <w:t>上、下均为</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厘米；</w:t>
      </w:r>
      <w:r>
        <w:rPr>
          <w:rFonts w:asciiTheme="minorEastAsia" w:eastAsiaTheme="minorEastAsia" w:hAnsiTheme="minorEastAsia" w:hint="eastAsia"/>
          <w:sz w:val="21"/>
          <w:szCs w:val="21"/>
        </w:rPr>
        <w:lastRenderedPageBreak/>
        <w:t>行距</w:t>
      </w:r>
      <w:r>
        <w:rPr>
          <w:rFonts w:asciiTheme="minorEastAsia" w:eastAsiaTheme="minorEastAsia" w:hAnsiTheme="minorEastAsia" w:hint="eastAsia"/>
          <w:sz w:val="21"/>
          <w:szCs w:val="21"/>
        </w:rPr>
        <w:t>1.25</w:t>
      </w:r>
      <w:r>
        <w:rPr>
          <w:rFonts w:asciiTheme="minorEastAsia" w:eastAsiaTheme="minorEastAsia" w:hAnsiTheme="minorEastAsia" w:hint="eastAsia"/>
          <w:sz w:val="21"/>
          <w:szCs w:val="21"/>
        </w:rPr>
        <w:t>倍，页码居中。封面封底由教务部提供统一版式。</w:t>
      </w:r>
      <w:r>
        <w:rPr>
          <w:rFonts w:asciiTheme="minorEastAsia" w:eastAsiaTheme="minorEastAsia" w:hAnsiTheme="minorEastAsia" w:hint="eastAsia"/>
          <w:sz w:val="21"/>
          <w:szCs w:val="21"/>
        </w:rPr>
        <w:t xml:space="preserve"> </w:t>
      </w:r>
    </w:p>
    <w:sectPr w:rsidR="001D0AB2">
      <w:footerReference w:type="default" r:id="rId22"/>
      <w:pgSz w:w="11906" w:h="16838"/>
      <w:pgMar w:top="1134" w:right="1247" w:bottom="1134" w:left="147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5A" w:rsidRDefault="00013C5A">
      <w:r>
        <w:separator/>
      </w:r>
    </w:p>
  </w:endnote>
  <w:endnote w:type="continuationSeparator" w:id="0">
    <w:p w:rsidR="00013C5A" w:rsidRDefault="0001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93134"/>
    </w:sdtPr>
    <w:sdtEndPr/>
    <w:sdtContent>
      <w:p w:rsidR="001D0AB2" w:rsidRDefault="00013C5A">
        <w:pPr>
          <w:pStyle w:val="a4"/>
          <w:jc w:val="center"/>
        </w:pPr>
        <w:r>
          <w:fldChar w:fldCharType="begin"/>
        </w:r>
        <w:r>
          <w:instrText>PAGE   \* MERGEFORMAT</w:instrText>
        </w:r>
        <w:r>
          <w:fldChar w:fldCharType="separate"/>
        </w:r>
        <w:r w:rsidR="00A9785B" w:rsidRPr="00A9785B">
          <w:rPr>
            <w:noProof/>
            <w:lang w:val="zh-CN"/>
          </w:rPr>
          <w:t>1</w:t>
        </w:r>
        <w:r>
          <w:fldChar w:fldCharType="end"/>
        </w:r>
      </w:p>
    </w:sdtContent>
  </w:sdt>
  <w:p w:rsidR="001D0AB2" w:rsidRDefault="001D0A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5A" w:rsidRDefault="00013C5A">
      <w:r>
        <w:separator/>
      </w:r>
    </w:p>
  </w:footnote>
  <w:footnote w:type="continuationSeparator" w:id="0">
    <w:p w:rsidR="00013C5A" w:rsidRDefault="0001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A6185"/>
    <w:multiLevelType w:val="multilevel"/>
    <w:tmpl w:val="5F4A618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3F1"/>
    <w:rsid w:val="000029D6"/>
    <w:rsid w:val="00013C5A"/>
    <w:rsid w:val="00015AC1"/>
    <w:rsid w:val="0002006B"/>
    <w:rsid w:val="00020B1C"/>
    <w:rsid w:val="0003271F"/>
    <w:rsid w:val="0003705A"/>
    <w:rsid w:val="000373CF"/>
    <w:rsid w:val="0004648B"/>
    <w:rsid w:val="00052AB5"/>
    <w:rsid w:val="00056579"/>
    <w:rsid w:val="0008518C"/>
    <w:rsid w:val="00087095"/>
    <w:rsid w:val="000943A5"/>
    <w:rsid w:val="00094AAD"/>
    <w:rsid w:val="000C6D8E"/>
    <w:rsid w:val="000E15F5"/>
    <w:rsid w:val="000E737D"/>
    <w:rsid w:val="000F4C8C"/>
    <w:rsid w:val="00103321"/>
    <w:rsid w:val="00104579"/>
    <w:rsid w:val="001067DA"/>
    <w:rsid w:val="00116538"/>
    <w:rsid w:val="00116C7E"/>
    <w:rsid w:val="001317E9"/>
    <w:rsid w:val="00133668"/>
    <w:rsid w:val="001428F0"/>
    <w:rsid w:val="00146E4B"/>
    <w:rsid w:val="00157771"/>
    <w:rsid w:val="00181F20"/>
    <w:rsid w:val="0018326C"/>
    <w:rsid w:val="00183D70"/>
    <w:rsid w:val="0019309B"/>
    <w:rsid w:val="00197B0B"/>
    <w:rsid w:val="001A114F"/>
    <w:rsid w:val="001C129B"/>
    <w:rsid w:val="001D0AB2"/>
    <w:rsid w:val="001E079C"/>
    <w:rsid w:val="001E5514"/>
    <w:rsid w:val="002079B6"/>
    <w:rsid w:val="002146BE"/>
    <w:rsid w:val="00223193"/>
    <w:rsid w:val="00225C5F"/>
    <w:rsid w:val="002320AA"/>
    <w:rsid w:val="0026436E"/>
    <w:rsid w:val="002905CC"/>
    <w:rsid w:val="0029501A"/>
    <w:rsid w:val="00296186"/>
    <w:rsid w:val="002A4529"/>
    <w:rsid w:val="002C5F85"/>
    <w:rsid w:val="002E2D56"/>
    <w:rsid w:val="002E4EBA"/>
    <w:rsid w:val="002E7C17"/>
    <w:rsid w:val="002F68CC"/>
    <w:rsid w:val="0030122C"/>
    <w:rsid w:val="00313366"/>
    <w:rsid w:val="00322F58"/>
    <w:rsid w:val="00323123"/>
    <w:rsid w:val="00323A84"/>
    <w:rsid w:val="003355E5"/>
    <w:rsid w:val="003401DB"/>
    <w:rsid w:val="00342D78"/>
    <w:rsid w:val="003444CB"/>
    <w:rsid w:val="00345A19"/>
    <w:rsid w:val="003519D7"/>
    <w:rsid w:val="0036493E"/>
    <w:rsid w:val="00375589"/>
    <w:rsid w:val="00377ADD"/>
    <w:rsid w:val="0038012A"/>
    <w:rsid w:val="00384AEB"/>
    <w:rsid w:val="003B14A7"/>
    <w:rsid w:val="003B23B9"/>
    <w:rsid w:val="003B2D70"/>
    <w:rsid w:val="003C4FAF"/>
    <w:rsid w:val="003D48E5"/>
    <w:rsid w:val="003D64CB"/>
    <w:rsid w:val="003D6C40"/>
    <w:rsid w:val="003D72F0"/>
    <w:rsid w:val="003E733F"/>
    <w:rsid w:val="003F33F1"/>
    <w:rsid w:val="003F3CA1"/>
    <w:rsid w:val="003F454B"/>
    <w:rsid w:val="003F560E"/>
    <w:rsid w:val="00402D57"/>
    <w:rsid w:val="00405A1C"/>
    <w:rsid w:val="00412839"/>
    <w:rsid w:val="00413B14"/>
    <w:rsid w:val="00413C44"/>
    <w:rsid w:val="0041567E"/>
    <w:rsid w:val="00415921"/>
    <w:rsid w:val="0044152E"/>
    <w:rsid w:val="00453C80"/>
    <w:rsid w:val="00454C39"/>
    <w:rsid w:val="00455914"/>
    <w:rsid w:val="0047170D"/>
    <w:rsid w:val="004735EF"/>
    <w:rsid w:val="00480D08"/>
    <w:rsid w:val="004B50B1"/>
    <w:rsid w:val="004B551E"/>
    <w:rsid w:val="004C0C4F"/>
    <w:rsid w:val="004C5A89"/>
    <w:rsid w:val="004D7598"/>
    <w:rsid w:val="004D7E3B"/>
    <w:rsid w:val="004E2745"/>
    <w:rsid w:val="004E72B8"/>
    <w:rsid w:val="004F2604"/>
    <w:rsid w:val="004F2922"/>
    <w:rsid w:val="004F7D71"/>
    <w:rsid w:val="00500D9B"/>
    <w:rsid w:val="005011BF"/>
    <w:rsid w:val="00502B4B"/>
    <w:rsid w:val="00505D43"/>
    <w:rsid w:val="005060D0"/>
    <w:rsid w:val="00506492"/>
    <w:rsid w:val="0051084E"/>
    <w:rsid w:val="005116BD"/>
    <w:rsid w:val="00514FE2"/>
    <w:rsid w:val="00517F58"/>
    <w:rsid w:val="00533811"/>
    <w:rsid w:val="00537DD4"/>
    <w:rsid w:val="00544488"/>
    <w:rsid w:val="0054465B"/>
    <w:rsid w:val="00550351"/>
    <w:rsid w:val="00551C31"/>
    <w:rsid w:val="00561F10"/>
    <w:rsid w:val="005624C2"/>
    <w:rsid w:val="005740F1"/>
    <w:rsid w:val="00576F07"/>
    <w:rsid w:val="0058521E"/>
    <w:rsid w:val="00586B29"/>
    <w:rsid w:val="00590DF5"/>
    <w:rsid w:val="005929E3"/>
    <w:rsid w:val="005B1F30"/>
    <w:rsid w:val="005B6B4D"/>
    <w:rsid w:val="005C102B"/>
    <w:rsid w:val="005C5F7C"/>
    <w:rsid w:val="005C6C92"/>
    <w:rsid w:val="005C7F02"/>
    <w:rsid w:val="005D2DAB"/>
    <w:rsid w:val="005E4FA0"/>
    <w:rsid w:val="005E58D3"/>
    <w:rsid w:val="005E6FFA"/>
    <w:rsid w:val="005F7153"/>
    <w:rsid w:val="006041B0"/>
    <w:rsid w:val="006055D3"/>
    <w:rsid w:val="00606CC7"/>
    <w:rsid w:val="00610CA4"/>
    <w:rsid w:val="00614440"/>
    <w:rsid w:val="006158F4"/>
    <w:rsid w:val="00652996"/>
    <w:rsid w:val="00664B61"/>
    <w:rsid w:val="00671691"/>
    <w:rsid w:val="0067183A"/>
    <w:rsid w:val="00671CB8"/>
    <w:rsid w:val="00673705"/>
    <w:rsid w:val="006847B0"/>
    <w:rsid w:val="00692C11"/>
    <w:rsid w:val="00694E2D"/>
    <w:rsid w:val="006A4A59"/>
    <w:rsid w:val="006A693F"/>
    <w:rsid w:val="006B2466"/>
    <w:rsid w:val="006D78FD"/>
    <w:rsid w:val="006F5219"/>
    <w:rsid w:val="00713F61"/>
    <w:rsid w:val="00715D0A"/>
    <w:rsid w:val="007350C0"/>
    <w:rsid w:val="00735A79"/>
    <w:rsid w:val="00737100"/>
    <w:rsid w:val="007413CC"/>
    <w:rsid w:val="00750B26"/>
    <w:rsid w:val="007677E7"/>
    <w:rsid w:val="00771071"/>
    <w:rsid w:val="00790522"/>
    <w:rsid w:val="0079103E"/>
    <w:rsid w:val="007A412D"/>
    <w:rsid w:val="007B731E"/>
    <w:rsid w:val="007D6CB0"/>
    <w:rsid w:val="007E1660"/>
    <w:rsid w:val="007F453F"/>
    <w:rsid w:val="00801989"/>
    <w:rsid w:val="0081463C"/>
    <w:rsid w:val="00815A28"/>
    <w:rsid w:val="00823C6B"/>
    <w:rsid w:val="0084388A"/>
    <w:rsid w:val="008444E6"/>
    <w:rsid w:val="00854330"/>
    <w:rsid w:val="00856651"/>
    <w:rsid w:val="0087462C"/>
    <w:rsid w:val="008766CA"/>
    <w:rsid w:val="00876FF5"/>
    <w:rsid w:val="00897B89"/>
    <w:rsid w:val="008A13EC"/>
    <w:rsid w:val="008A66B5"/>
    <w:rsid w:val="008C18B4"/>
    <w:rsid w:val="008D0268"/>
    <w:rsid w:val="008D0C39"/>
    <w:rsid w:val="008D19E4"/>
    <w:rsid w:val="008E3474"/>
    <w:rsid w:val="008E4E50"/>
    <w:rsid w:val="008F18C6"/>
    <w:rsid w:val="008F4605"/>
    <w:rsid w:val="00900B7E"/>
    <w:rsid w:val="00942B0C"/>
    <w:rsid w:val="00964670"/>
    <w:rsid w:val="00973835"/>
    <w:rsid w:val="00995439"/>
    <w:rsid w:val="009961B9"/>
    <w:rsid w:val="009A164D"/>
    <w:rsid w:val="009B51CF"/>
    <w:rsid w:val="009C1CBC"/>
    <w:rsid w:val="009C37A7"/>
    <w:rsid w:val="009E7BE7"/>
    <w:rsid w:val="009F7DE7"/>
    <w:rsid w:val="00A03241"/>
    <w:rsid w:val="00A07469"/>
    <w:rsid w:val="00A11144"/>
    <w:rsid w:val="00A14045"/>
    <w:rsid w:val="00A1442F"/>
    <w:rsid w:val="00A15C3C"/>
    <w:rsid w:val="00A2066E"/>
    <w:rsid w:val="00A21296"/>
    <w:rsid w:val="00A51B55"/>
    <w:rsid w:val="00A527E9"/>
    <w:rsid w:val="00A553EE"/>
    <w:rsid w:val="00A6169C"/>
    <w:rsid w:val="00A633A8"/>
    <w:rsid w:val="00A716CC"/>
    <w:rsid w:val="00A76FD6"/>
    <w:rsid w:val="00A8725C"/>
    <w:rsid w:val="00A913BD"/>
    <w:rsid w:val="00A93995"/>
    <w:rsid w:val="00A9785B"/>
    <w:rsid w:val="00AA1579"/>
    <w:rsid w:val="00AA21D3"/>
    <w:rsid w:val="00AA5705"/>
    <w:rsid w:val="00AB0669"/>
    <w:rsid w:val="00AB1D29"/>
    <w:rsid w:val="00AC39D1"/>
    <w:rsid w:val="00AD3236"/>
    <w:rsid w:val="00AD7808"/>
    <w:rsid w:val="00AE04A3"/>
    <w:rsid w:val="00AF418A"/>
    <w:rsid w:val="00AF6D1E"/>
    <w:rsid w:val="00B012FC"/>
    <w:rsid w:val="00B029F5"/>
    <w:rsid w:val="00B174D0"/>
    <w:rsid w:val="00B20E04"/>
    <w:rsid w:val="00B2705F"/>
    <w:rsid w:val="00B33132"/>
    <w:rsid w:val="00B377CA"/>
    <w:rsid w:val="00B42882"/>
    <w:rsid w:val="00B456E2"/>
    <w:rsid w:val="00B67A0A"/>
    <w:rsid w:val="00B70420"/>
    <w:rsid w:val="00B71FEA"/>
    <w:rsid w:val="00B76E30"/>
    <w:rsid w:val="00B842DF"/>
    <w:rsid w:val="00BA0E02"/>
    <w:rsid w:val="00BC0E17"/>
    <w:rsid w:val="00BC1021"/>
    <w:rsid w:val="00BC56A6"/>
    <w:rsid w:val="00BE0DEA"/>
    <w:rsid w:val="00BE134C"/>
    <w:rsid w:val="00BE3943"/>
    <w:rsid w:val="00BF0164"/>
    <w:rsid w:val="00BF1838"/>
    <w:rsid w:val="00BF33DE"/>
    <w:rsid w:val="00BF5AD1"/>
    <w:rsid w:val="00BF68F4"/>
    <w:rsid w:val="00C06475"/>
    <w:rsid w:val="00C16B73"/>
    <w:rsid w:val="00C21CF2"/>
    <w:rsid w:val="00C346BC"/>
    <w:rsid w:val="00C3694D"/>
    <w:rsid w:val="00C37FD9"/>
    <w:rsid w:val="00C66A64"/>
    <w:rsid w:val="00C83A7A"/>
    <w:rsid w:val="00C87CDD"/>
    <w:rsid w:val="00C938DD"/>
    <w:rsid w:val="00CB5025"/>
    <w:rsid w:val="00CD0FA3"/>
    <w:rsid w:val="00CD23E3"/>
    <w:rsid w:val="00CD512D"/>
    <w:rsid w:val="00CE6AF9"/>
    <w:rsid w:val="00CF41DB"/>
    <w:rsid w:val="00CF77BC"/>
    <w:rsid w:val="00D06C8B"/>
    <w:rsid w:val="00D22120"/>
    <w:rsid w:val="00D33B78"/>
    <w:rsid w:val="00D368A4"/>
    <w:rsid w:val="00D576DF"/>
    <w:rsid w:val="00D74BCB"/>
    <w:rsid w:val="00D80553"/>
    <w:rsid w:val="00D80B1B"/>
    <w:rsid w:val="00D867B6"/>
    <w:rsid w:val="00D96018"/>
    <w:rsid w:val="00DC5314"/>
    <w:rsid w:val="00DD4A2B"/>
    <w:rsid w:val="00DE5F40"/>
    <w:rsid w:val="00DE6324"/>
    <w:rsid w:val="00DF2C5A"/>
    <w:rsid w:val="00E04C98"/>
    <w:rsid w:val="00E26A7E"/>
    <w:rsid w:val="00E43265"/>
    <w:rsid w:val="00E45BC4"/>
    <w:rsid w:val="00E54CE1"/>
    <w:rsid w:val="00E62108"/>
    <w:rsid w:val="00E74423"/>
    <w:rsid w:val="00E80176"/>
    <w:rsid w:val="00E854A5"/>
    <w:rsid w:val="00E86D69"/>
    <w:rsid w:val="00E87073"/>
    <w:rsid w:val="00E87FC4"/>
    <w:rsid w:val="00E90F22"/>
    <w:rsid w:val="00EA1CA7"/>
    <w:rsid w:val="00EA6713"/>
    <w:rsid w:val="00EC051C"/>
    <w:rsid w:val="00EC412D"/>
    <w:rsid w:val="00EC5304"/>
    <w:rsid w:val="00EC5534"/>
    <w:rsid w:val="00ED2B2D"/>
    <w:rsid w:val="00EF61C3"/>
    <w:rsid w:val="00F128BC"/>
    <w:rsid w:val="00F15A93"/>
    <w:rsid w:val="00F23FE9"/>
    <w:rsid w:val="00F252A8"/>
    <w:rsid w:val="00F26CD1"/>
    <w:rsid w:val="00F44269"/>
    <w:rsid w:val="00F44C8A"/>
    <w:rsid w:val="00F502DB"/>
    <w:rsid w:val="00F60763"/>
    <w:rsid w:val="00F60E81"/>
    <w:rsid w:val="00F671B2"/>
    <w:rsid w:val="00F71937"/>
    <w:rsid w:val="00F74B6D"/>
    <w:rsid w:val="00F77B53"/>
    <w:rsid w:val="00F81356"/>
    <w:rsid w:val="00F8324C"/>
    <w:rsid w:val="00F86560"/>
    <w:rsid w:val="00F96492"/>
    <w:rsid w:val="00FA3ABC"/>
    <w:rsid w:val="00FC0A99"/>
    <w:rsid w:val="00FC0C98"/>
    <w:rsid w:val="00FD44F7"/>
    <w:rsid w:val="00FD5F7B"/>
    <w:rsid w:val="00FE7E39"/>
    <w:rsid w:val="00FF474B"/>
    <w:rsid w:val="00FF6EBB"/>
    <w:rsid w:val="08164AD8"/>
    <w:rsid w:val="128C6979"/>
    <w:rsid w:val="50D5313F"/>
    <w:rsid w:val="54D3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914F65-FCCC-4A6D-8C5B-A0E8E08D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纯文本1"/>
    <w:basedOn w:val="a"/>
    <w:qFormat/>
    <w:pPr>
      <w:suppressAutoHyphens/>
    </w:pPr>
    <w:rPr>
      <w:rFonts w:ascii="宋体" w:hAnsi="宋体"/>
      <w:kern w:val="1"/>
      <w:szCs w:val="20"/>
      <w:lang w:eastAsia="ar-SA"/>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2=%C2%ED%B6%FB%BB%F9%B6%FB&amp;medium=01&amp;category_path=01.00.00.00.00.00" TargetMode="External"/><Relationship Id="rId18" Type="http://schemas.openxmlformats.org/officeDocument/2006/relationships/hyperlink" Target="http://product.dangdang.com/25308386.html" TargetMode="External"/><Relationship Id="rId3" Type="http://schemas.openxmlformats.org/officeDocument/2006/relationships/numbering" Target="numbering.xml"/><Relationship Id="rId21" Type="http://schemas.openxmlformats.org/officeDocument/2006/relationships/hyperlink" Target="http://search.dangdang.com/?key=%BB%FA%D0%B5%B9%A4%D2%B5%B3%F6%B0%E6%C9%E7" TargetMode="External"/><Relationship Id="rId7" Type="http://schemas.openxmlformats.org/officeDocument/2006/relationships/footnotes" Target="footnotes.xml"/><Relationship Id="rId12" Type="http://schemas.openxmlformats.org/officeDocument/2006/relationships/hyperlink" Target="http://search.dangdang.com/?key2=%B2%AE%B6%D9G&amp;medium=01&amp;category_path=01.00.00.00.00.00" TargetMode="External"/><Relationship Id="rId17" Type="http://schemas.openxmlformats.org/officeDocument/2006/relationships/hyperlink" Target="http://search.dangdang.com/?key=%D6%D0%D0%C5%B3%F6%B0%E6%C9%E7" TargetMode="External"/><Relationship Id="rId2" Type="http://schemas.openxmlformats.org/officeDocument/2006/relationships/customXml" Target="../customXml/item2.xml"/><Relationship Id="rId16" Type="http://schemas.openxmlformats.org/officeDocument/2006/relationships/hyperlink" Target="http://search.dangdang.com/?key=%CC%D8%CE%AC%B5%C2" TargetMode="External"/><Relationship Id="rId20" Type="http://schemas.openxmlformats.org/officeDocument/2006/relationships/hyperlink" Target="http://search.dangdang.com/?key=%D4%BC%BA%B2%A1%A4%C2%DE%C9%AA%B2%E9%B6%FB%B5%C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duct.dangdang.com/25206687.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oduct.dangdang.com/23226050.html" TargetMode="External"/><Relationship Id="rId23" Type="http://schemas.openxmlformats.org/officeDocument/2006/relationships/fontTable" Target="fontTable.xml"/><Relationship Id="rId10" Type="http://schemas.openxmlformats.org/officeDocument/2006/relationships/hyperlink" Target="http://search.dangdang.com/?key3=%B1%B1%BE%A9%D1%E0%C9%BD%B3%F6%B0%E6%C9%E7&amp;medium=01&amp;category_path=01.00.00.00.00.00" TargetMode="External"/><Relationship Id="rId19" Type="http://schemas.openxmlformats.org/officeDocument/2006/relationships/hyperlink" Target="http://search.dangdang.com/?key=%B1%CB%B5%C3%A1%A4%C1%D6%C6%E6" TargetMode="External"/><Relationship Id="rId4" Type="http://schemas.openxmlformats.org/officeDocument/2006/relationships/styles" Target="styles.xml"/><Relationship Id="rId9" Type="http://schemas.openxmlformats.org/officeDocument/2006/relationships/hyperlink" Target="http://search.dangdang.com/?key2=%BB%F9%BD%F0%B4%D3%D2%B5%C8%CB%D4%B1%D7%CA%B8%F1%BF%BC%CA%D4%C3%FC%CC%E2%D1%D0%BE%BF%D6%D0%D0%C4&amp;medium=01&amp;category_path=01.00.00.00.00.00" TargetMode="External"/><Relationship Id="rId14" Type="http://schemas.openxmlformats.org/officeDocument/2006/relationships/hyperlink" Target="http://search.dangdang.com/?key3=%BB%FA%D0%B5%B9%A4%D2%B5%B3%F6%B0%E6%C9%E7&amp;medium=01&amp;category_path=01.00.00.00.00.00"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3479A-DA81-4FA9-B92A-2EFCFEAF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612</Words>
  <Characters>3494</Characters>
  <Application>Microsoft Office Word</Application>
  <DocSecurity>0</DocSecurity>
  <Lines>29</Lines>
  <Paragraphs>8</Paragraphs>
  <ScaleCrop>false</ScaleCrop>
  <Company>Microsoft</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20180709</dc:creator>
  <cp:lastModifiedBy>BB</cp:lastModifiedBy>
  <cp:revision>484</cp:revision>
  <cp:lastPrinted>2019-12-17T00:29:00Z</cp:lastPrinted>
  <dcterms:created xsi:type="dcterms:W3CDTF">2018-09-21T00:41:00Z</dcterms:created>
  <dcterms:modified xsi:type="dcterms:W3CDTF">2021-07-20T02:44:00Z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5EE4FAB3626F4F6B8748DA731AD5ED31</vt:lpwstr>
  </property>
</Properties>
</file>