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56" w:rsidRDefault="004769C0">
      <w:pPr>
        <w:pStyle w:val="1"/>
        <w:rPr>
          <w:rFonts w:hint="default"/>
        </w:rPr>
      </w:pPr>
      <w:r>
        <w:t>【</w:t>
      </w:r>
      <w:r>
        <w:t>投教活动】</w:t>
      </w:r>
      <w:r>
        <w:t>“证券从业人员职业道德规范”——</w:t>
      </w:r>
      <w:r>
        <w:t>安信证券投教基地直播活动</w:t>
      </w:r>
    </w:p>
    <w:p w:rsidR="00060C56" w:rsidRDefault="004769C0">
      <w:pPr>
        <w:ind w:firstLineChars="200" w:firstLine="660"/>
        <w:rPr>
          <w:rFonts w:asciiTheme="minorEastAsia" w:hAnsiTheme="minorEastAsia" w:cstheme="minorEastAsia"/>
          <w:color w:val="222222"/>
          <w:spacing w:val="5"/>
          <w:sz w:val="32"/>
          <w:szCs w:val="32"/>
          <w:shd w:val="clear" w:color="auto" w:fill="FFFFFF"/>
        </w:rPr>
      </w:pPr>
      <w:r>
        <w:rPr>
          <w:rFonts w:asciiTheme="minorEastAsia" w:hAnsiTheme="minorEastAsia" w:cstheme="minorEastAsia" w:hint="eastAsia"/>
          <w:color w:val="222222"/>
          <w:spacing w:val="5"/>
          <w:sz w:val="32"/>
          <w:szCs w:val="32"/>
          <w:shd w:val="clear" w:color="auto" w:fill="FFFFFF"/>
        </w:rPr>
        <w:t>为贯彻党中央、国务院廉政建设要求，完善廉洁从业监管规则体系，证监会制定了《证券期货经营机构及其工作人员廉洁从业规定》</w:t>
      </w:r>
      <w:r>
        <w:rPr>
          <w:rFonts w:asciiTheme="minorEastAsia" w:hAnsiTheme="minorEastAsia" w:cstheme="minorEastAsia" w:hint="eastAsia"/>
          <w:color w:val="222222"/>
          <w:spacing w:val="5"/>
          <w:sz w:val="32"/>
          <w:szCs w:val="32"/>
          <w:shd w:val="clear" w:color="auto" w:fill="FFFFFF"/>
        </w:rPr>
        <w:t xml:space="preserve"> </w:t>
      </w:r>
      <w:r>
        <w:rPr>
          <w:rFonts w:asciiTheme="minorEastAsia" w:hAnsiTheme="minorEastAsia" w:cstheme="minorEastAsia" w:hint="eastAsia"/>
          <w:color w:val="222222"/>
          <w:spacing w:val="5"/>
          <w:sz w:val="32"/>
          <w:szCs w:val="32"/>
          <w:shd w:val="clear" w:color="auto" w:fill="FFFFFF"/>
        </w:rPr>
        <w:t>，进一步加强对证券期货行业的廉洁从业监管，夯实新阶段证券期货行业规范发展的基础。证监会始终高度重视证券期货经营机构廉洁从业监管工作，坚持反腐无禁区、全覆盖、零容忍。近年来，干扰发行审核工作、债券交易中的利益输送、基金经理从事“老鼠仓”交易等多起违法违规案件被严肃查处。</w:t>
      </w:r>
    </w:p>
    <w:p w:rsidR="00060C56" w:rsidRDefault="004769C0">
      <w:pPr>
        <w:ind w:firstLineChars="200" w:firstLine="660"/>
        <w:rPr>
          <w:rFonts w:asciiTheme="minorEastAsia" w:hAnsiTheme="minorEastAsia" w:cstheme="minorEastAsia"/>
          <w:color w:val="222222"/>
          <w:spacing w:val="5"/>
          <w:sz w:val="32"/>
          <w:szCs w:val="32"/>
          <w:shd w:val="clear" w:color="auto" w:fill="FFFFFF"/>
        </w:rPr>
      </w:pPr>
      <w:r>
        <w:rPr>
          <w:rFonts w:asciiTheme="minorEastAsia" w:hAnsiTheme="minorEastAsia" w:cstheme="minorEastAsia" w:hint="eastAsia"/>
          <w:color w:val="222222"/>
          <w:spacing w:val="5"/>
          <w:sz w:val="32"/>
          <w:szCs w:val="32"/>
          <w:shd w:val="clear" w:color="auto" w:fill="FFFFFF"/>
        </w:rPr>
        <w:t>12</w:t>
      </w:r>
      <w:r>
        <w:rPr>
          <w:rFonts w:asciiTheme="minorEastAsia" w:hAnsiTheme="minorEastAsia" w:cstheme="minorEastAsia" w:hint="eastAsia"/>
          <w:color w:val="222222"/>
          <w:spacing w:val="5"/>
          <w:sz w:val="32"/>
          <w:szCs w:val="32"/>
          <w:shd w:val="clear" w:color="auto" w:fill="FFFFFF"/>
        </w:rPr>
        <w:t>月</w:t>
      </w:r>
      <w:r>
        <w:rPr>
          <w:rFonts w:asciiTheme="minorEastAsia" w:hAnsiTheme="minorEastAsia" w:cstheme="minorEastAsia" w:hint="eastAsia"/>
          <w:color w:val="222222"/>
          <w:spacing w:val="5"/>
          <w:sz w:val="32"/>
          <w:szCs w:val="32"/>
          <w:shd w:val="clear" w:color="auto" w:fill="FFFFFF"/>
        </w:rPr>
        <w:t>2</w:t>
      </w:r>
      <w:r>
        <w:rPr>
          <w:rFonts w:asciiTheme="minorEastAsia" w:hAnsiTheme="minorEastAsia" w:cstheme="minorEastAsia" w:hint="eastAsia"/>
          <w:color w:val="222222"/>
          <w:spacing w:val="5"/>
          <w:sz w:val="32"/>
          <w:szCs w:val="32"/>
          <w:shd w:val="clear" w:color="auto" w:fill="FFFFFF"/>
        </w:rPr>
        <w:t>2</w:t>
      </w:r>
      <w:r>
        <w:rPr>
          <w:rFonts w:asciiTheme="minorEastAsia" w:hAnsiTheme="minorEastAsia" w:cstheme="minorEastAsia" w:hint="eastAsia"/>
          <w:color w:val="222222"/>
          <w:spacing w:val="5"/>
          <w:sz w:val="32"/>
          <w:szCs w:val="32"/>
          <w:shd w:val="clear" w:color="auto" w:fill="FFFFFF"/>
        </w:rPr>
        <w:t>日，</w:t>
      </w:r>
      <w:r>
        <w:rPr>
          <w:rFonts w:asciiTheme="minorEastAsia" w:hAnsiTheme="minorEastAsia" w:cstheme="minorEastAsia" w:hint="eastAsia"/>
          <w:color w:val="222222"/>
          <w:spacing w:val="5"/>
          <w:sz w:val="32"/>
          <w:szCs w:val="32"/>
          <w:shd w:val="clear" w:color="auto" w:fill="FFFFFF"/>
        </w:rPr>
        <w:t>安信</w:t>
      </w:r>
      <w:r>
        <w:rPr>
          <w:rFonts w:asciiTheme="minorEastAsia" w:hAnsiTheme="minorEastAsia" w:cstheme="minorEastAsia" w:hint="eastAsia"/>
          <w:color w:val="222222"/>
          <w:spacing w:val="5"/>
          <w:sz w:val="32"/>
          <w:szCs w:val="32"/>
          <w:shd w:val="clear" w:color="auto" w:fill="FFFFFF"/>
        </w:rPr>
        <w:t>证券投教基地</w:t>
      </w:r>
      <w:r>
        <w:rPr>
          <w:rFonts w:asciiTheme="minorEastAsia" w:hAnsiTheme="minorEastAsia" w:cstheme="minorEastAsia" w:hint="eastAsia"/>
          <w:color w:val="222222"/>
          <w:spacing w:val="5"/>
          <w:sz w:val="32"/>
          <w:szCs w:val="32"/>
          <w:shd w:val="clear" w:color="auto" w:fill="FFFFFF"/>
        </w:rPr>
        <w:t>邀请</w:t>
      </w:r>
      <w:r>
        <w:rPr>
          <w:rFonts w:hint="eastAsia"/>
          <w:sz w:val="32"/>
          <w:szCs w:val="32"/>
        </w:rPr>
        <w:t>湖南省证券业协会常务副会长兼秘书长刘丹岳老师，并</w:t>
      </w:r>
      <w:r>
        <w:rPr>
          <w:rFonts w:asciiTheme="minorEastAsia" w:hAnsiTheme="minorEastAsia" w:cstheme="minorEastAsia" w:hint="eastAsia"/>
          <w:color w:val="222222"/>
          <w:spacing w:val="5"/>
          <w:sz w:val="32"/>
          <w:szCs w:val="32"/>
          <w:shd w:val="clear" w:color="auto" w:fill="FFFFFF"/>
        </w:rPr>
        <w:t>联合</w:t>
      </w:r>
      <w:r>
        <w:rPr>
          <w:rFonts w:asciiTheme="minorEastAsia" w:hAnsiTheme="minorEastAsia" w:cstheme="minorEastAsia" w:hint="eastAsia"/>
          <w:color w:val="222222"/>
          <w:spacing w:val="5"/>
          <w:sz w:val="32"/>
          <w:szCs w:val="32"/>
          <w:shd w:val="clear" w:color="auto" w:fill="FFFFFF"/>
        </w:rPr>
        <w:t>安徽师范大学开展“证券从业人员职业道德规范”线上</w:t>
      </w:r>
      <w:r>
        <w:rPr>
          <w:rFonts w:asciiTheme="minorEastAsia" w:hAnsiTheme="minorEastAsia" w:cstheme="minorEastAsia" w:hint="eastAsia"/>
          <w:color w:val="222222"/>
          <w:spacing w:val="5"/>
          <w:sz w:val="32"/>
          <w:szCs w:val="32"/>
          <w:shd w:val="clear" w:color="auto" w:fill="FFFFFF"/>
        </w:rPr>
        <w:t>直播活动</w:t>
      </w:r>
      <w:r>
        <w:rPr>
          <w:rFonts w:asciiTheme="minorEastAsia" w:hAnsiTheme="minorEastAsia" w:cstheme="minorEastAsia" w:hint="eastAsia"/>
          <w:color w:val="222222"/>
          <w:spacing w:val="5"/>
          <w:sz w:val="32"/>
          <w:szCs w:val="32"/>
          <w:shd w:val="clear" w:color="auto" w:fill="FFFFFF"/>
        </w:rPr>
        <w:t>，</w:t>
      </w:r>
      <w:r>
        <w:rPr>
          <w:rFonts w:asciiTheme="minorEastAsia" w:hAnsiTheme="minorEastAsia" w:cstheme="minorEastAsia" w:hint="eastAsia"/>
          <w:color w:val="222222"/>
          <w:spacing w:val="5"/>
          <w:sz w:val="32"/>
          <w:szCs w:val="32"/>
          <w:shd w:val="clear" w:color="auto" w:fill="FFFFFF"/>
        </w:rPr>
        <w:t>共有</w:t>
      </w:r>
      <w:r>
        <w:rPr>
          <w:rFonts w:asciiTheme="minorEastAsia" w:hAnsiTheme="minorEastAsia" w:cstheme="minorEastAsia" w:hint="eastAsia"/>
          <w:color w:val="222222"/>
          <w:spacing w:val="5"/>
          <w:sz w:val="32"/>
          <w:szCs w:val="32"/>
          <w:shd w:val="clear" w:color="auto" w:fill="FFFFFF"/>
        </w:rPr>
        <w:t>205</w:t>
      </w:r>
      <w:r>
        <w:rPr>
          <w:rFonts w:asciiTheme="minorEastAsia" w:hAnsiTheme="minorEastAsia" w:cstheme="minorEastAsia" w:hint="eastAsia"/>
          <w:color w:val="222222"/>
          <w:spacing w:val="5"/>
          <w:sz w:val="32"/>
          <w:szCs w:val="32"/>
          <w:shd w:val="clear" w:color="auto" w:fill="FFFFFF"/>
        </w:rPr>
        <w:t>位</w:t>
      </w:r>
      <w:r>
        <w:rPr>
          <w:rFonts w:asciiTheme="minorEastAsia" w:hAnsiTheme="minorEastAsia" w:cstheme="minorEastAsia" w:hint="eastAsia"/>
          <w:color w:val="222222"/>
          <w:spacing w:val="5"/>
          <w:sz w:val="32"/>
          <w:szCs w:val="32"/>
          <w:shd w:val="clear" w:color="auto" w:fill="FFFFFF"/>
        </w:rPr>
        <w:t>投资者观看此次线上直播活动</w:t>
      </w:r>
      <w:r>
        <w:rPr>
          <w:rFonts w:asciiTheme="minorEastAsia" w:hAnsiTheme="minorEastAsia" w:cstheme="minorEastAsia" w:hint="eastAsia"/>
          <w:color w:val="222222"/>
          <w:spacing w:val="5"/>
          <w:sz w:val="32"/>
          <w:szCs w:val="32"/>
          <w:shd w:val="clear" w:color="auto" w:fill="FFFFFF"/>
        </w:rPr>
        <w:t>。</w:t>
      </w:r>
    </w:p>
    <w:p w:rsidR="00060C56" w:rsidRDefault="004769C0" w:rsidP="004769C0">
      <w:pPr>
        <w:jc w:val="center"/>
        <w:rPr>
          <w:rFonts w:asciiTheme="minorEastAsia" w:hAnsiTheme="minorEastAsia" w:cstheme="minorEastAsia"/>
          <w:color w:val="222222"/>
          <w:spacing w:val="5"/>
          <w:sz w:val="32"/>
          <w:szCs w:val="32"/>
          <w:shd w:val="clear" w:color="auto" w:fill="FFFFFF"/>
        </w:rPr>
      </w:pPr>
      <w:bookmarkStart w:id="0" w:name="_GoBack"/>
      <w:r>
        <w:rPr>
          <w:rFonts w:asciiTheme="minorEastAsia" w:hAnsiTheme="minorEastAsia" w:cstheme="minorEastAsia" w:hint="eastAsia"/>
          <w:noProof/>
          <w:color w:val="222222"/>
          <w:spacing w:val="5"/>
          <w:sz w:val="32"/>
          <w:szCs w:val="32"/>
          <w:shd w:val="clear" w:color="auto" w:fill="FFFFFF"/>
        </w:rPr>
        <w:drawing>
          <wp:inline distT="0" distB="0" distL="114300" distR="114300">
            <wp:extent cx="5269865" cy="2536190"/>
            <wp:effectExtent l="0" t="0" r="635" b="3810"/>
            <wp:docPr id="1" name="图片 1" descr="c46a74a99f8b5d396169ee14f664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6a74a99f8b5d396169ee14f6642fb"/>
                    <pic:cNvPicPr>
                      <a:picLocks noChangeAspect="1"/>
                    </pic:cNvPicPr>
                  </pic:nvPicPr>
                  <pic:blipFill>
                    <a:blip r:embed="rId4"/>
                    <a:stretch>
                      <a:fillRect/>
                    </a:stretch>
                  </pic:blipFill>
                  <pic:spPr>
                    <a:xfrm>
                      <a:off x="0" y="0"/>
                      <a:ext cx="5269865" cy="2536190"/>
                    </a:xfrm>
                    <a:prstGeom prst="rect">
                      <a:avLst/>
                    </a:prstGeom>
                  </pic:spPr>
                </pic:pic>
              </a:graphicData>
            </a:graphic>
          </wp:inline>
        </w:drawing>
      </w:r>
      <w:bookmarkEnd w:id="0"/>
    </w:p>
    <w:p w:rsidR="00060C56" w:rsidRDefault="004769C0">
      <w:pPr>
        <w:ind w:firstLineChars="200" w:firstLine="640"/>
        <w:rPr>
          <w:sz w:val="32"/>
          <w:szCs w:val="32"/>
        </w:rPr>
      </w:pPr>
      <w:r>
        <w:rPr>
          <w:rFonts w:hint="eastAsia"/>
          <w:sz w:val="32"/>
          <w:szCs w:val="32"/>
        </w:rPr>
        <w:t>本</w:t>
      </w:r>
      <w:r>
        <w:rPr>
          <w:rFonts w:hint="eastAsia"/>
          <w:sz w:val="32"/>
          <w:szCs w:val="32"/>
        </w:rPr>
        <w:t>场直播刘丹岳老师从四个方面</w:t>
      </w:r>
      <w:r>
        <w:rPr>
          <w:rFonts w:hint="eastAsia"/>
          <w:sz w:val="32"/>
          <w:szCs w:val="32"/>
        </w:rPr>
        <w:t>讲解</w:t>
      </w:r>
      <w:r>
        <w:rPr>
          <w:rFonts w:hint="eastAsia"/>
          <w:sz w:val="32"/>
          <w:szCs w:val="32"/>
        </w:rPr>
        <w:t>职业道德规范要</w:t>
      </w:r>
      <w:r>
        <w:rPr>
          <w:rFonts w:hint="eastAsia"/>
          <w:sz w:val="32"/>
          <w:szCs w:val="32"/>
        </w:rPr>
        <w:lastRenderedPageBreak/>
        <w:t>求</w:t>
      </w:r>
      <w:r>
        <w:rPr>
          <w:rFonts w:hint="eastAsia"/>
          <w:sz w:val="32"/>
          <w:szCs w:val="32"/>
        </w:rPr>
        <w:t>、</w:t>
      </w:r>
      <w:r>
        <w:rPr>
          <w:rFonts w:hint="eastAsia"/>
          <w:sz w:val="32"/>
          <w:szCs w:val="32"/>
        </w:rPr>
        <w:t>廉洁从业与廉洁文化</w:t>
      </w:r>
      <w:r>
        <w:rPr>
          <w:rFonts w:hint="eastAsia"/>
          <w:sz w:val="32"/>
          <w:szCs w:val="32"/>
        </w:rPr>
        <w:t>、</w:t>
      </w:r>
      <w:r>
        <w:rPr>
          <w:rFonts w:hint="eastAsia"/>
          <w:sz w:val="32"/>
          <w:szCs w:val="32"/>
        </w:rPr>
        <w:t>证券人才及队伍建设</w:t>
      </w:r>
      <w:r>
        <w:rPr>
          <w:rFonts w:hint="eastAsia"/>
          <w:sz w:val="32"/>
          <w:szCs w:val="32"/>
        </w:rPr>
        <w:t>、</w:t>
      </w:r>
      <w:r>
        <w:rPr>
          <w:rFonts w:hint="eastAsia"/>
          <w:sz w:val="32"/>
          <w:szCs w:val="32"/>
        </w:rPr>
        <w:t>证券行业的职业规划，</w:t>
      </w:r>
      <w:r>
        <w:rPr>
          <w:sz w:val="32"/>
          <w:szCs w:val="32"/>
        </w:rPr>
        <w:t>带领</w:t>
      </w:r>
      <w:r>
        <w:rPr>
          <w:rFonts w:hint="eastAsia"/>
          <w:sz w:val="32"/>
          <w:szCs w:val="32"/>
        </w:rPr>
        <w:t>证券从业人员及金融专业大学生</w:t>
      </w:r>
      <w:r>
        <w:rPr>
          <w:sz w:val="32"/>
          <w:szCs w:val="32"/>
        </w:rPr>
        <w:t>深入了解</w:t>
      </w:r>
      <w:r>
        <w:rPr>
          <w:rFonts w:hint="eastAsia"/>
          <w:sz w:val="32"/>
          <w:szCs w:val="32"/>
        </w:rPr>
        <w:t>证券从业人员的职业道德规范</w:t>
      </w:r>
      <w:r>
        <w:rPr>
          <w:sz w:val="32"/>
          <w:szCs w:val="32"/>
        </w:rPr>
        <w:t>。</w:t>
      </w:r>
      <w:r>
        <w:rPr>
          <w:rFonts w:hint="eastAsia"/>
          <w:sz w:val="32"/>
          <w:szCs w:val="32"/>
        </w:rPr>
        <w:t>刘老师强调证券从业人员应该严格遵守《证券期货经营机构及其工作人员廉洁从业规定》及其相关规定，不得谋取不正当利益或者向公职人员、客户、潜在客户及其利益关系人输送不正当利益。</w:t>
      </w:r>
    </w:p>
    <w:p w:rsidR="00060C56" w:rsidRDefault="004769C0">
      <w:pPr>
        <w:ind w:firstLineChars="200" w:firstLine="640"/>
        <w:rPr>
          <w:sz w:val="32"/>
          <w:szCs w:val="32"/>
        </w:rPr>
      </w:pPr>
      <w:r>
        <w:rPr>
          <w:rFonts w:hint="eastAsia"/>
          <w:sz w:val="32"/>
          <w:szCs w:val="32"/>
        </w:rPr>
        <w:t>随后，刘老师解读了廉洁从业管理规范、管理要点、主要风险点及职业道德要求与廉洁从业风险防范，阐述了廉洁从业的必要性和重要性。同时，刘老师介绍了投行、信用、自营资管、经纪，研究各条线从业人员规范要求——禁止行为。</w:t>
      </w:r>
    </w:p>
    <w:p w:rsidR="00060C56" w:rsidRDefault="004769C0">
      <w:pPr>
        <w:ind w:firstLineChars="200" w:firstLine="640"/>
        <w:rPr>
          <w:sz w:val="32"/>
          <w:szCs w:val="32"/>
        </w:rPr>
      </w:pPr>
      <w:r>
        <w:rPr>
          <w:rFonts w:hint="eastAsia"/>
          <w:sz w:val="32"/>
          <w:szCs w:val="32"/>
        </w:rPr>
        <w:t>安信证券投教基地已将廉洁从业理念融入到企业文化以及公司发展过程中，持续提醒公司从业人员必须严格遵守廉洁从业相关规定，严格履行职业操守，加大对违规行为的自查自纠、追责问责力度，营造风清气正的公司氛围，共建资本市场良生态。</w:t>
      </w:r>
    </w:p>
    <w:p w:rsidR="00060C56" w:rsidRDefault="004769C0" w:rsidP="004769C0">
      <w:pPr>
        <w:jc w:val="center"/>
        <w:rPr>
          <w:sz w:val="32"/>
          <w:szCs w:val="32"/>
        </w:rPr>
      </w:pPr>
      <w:r>
        <w:rPr>
          <w:rFonts w:hint="eastAsia"/>
          <w:noProof/>
          <w:sz w:val="32"/>
          <w:szCs w:val="32"/>
        </w:rPr>
        <w:lastRenderedPageBreak/>
        <w:drawing>
          <wp:inline distT="0" distB="0" distL="114300" distR="114300">
            <wp:extent cx="4096385" cy="8862060"/>
            <wp:effectExtent l="0" t="0" r="5715" b="2540"/>
            <wp:docPr id="3" name="图片 3" descr="d0c33d9d681e28f7ca965a6a0fa47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0c33d9d681e28f7ca965a6a0fa47ac"/>
                    <pic:cNvPicPr>
                      <a:picLocks noChangeAspect="1"/>
                    </pic:cNvPicPr>
                  </pic:nvPicPr>
                  <pic:blipFill>
                    <a:blip r:embed="rId5"/>
                    <a:stretch>
                      <a:fillRect/>
                    </a:stretch>
                  </pic:blipFill>
                  <pic:spPr>
                    <a:xfrm>
                      <a:off x="0" y="0"/>
                      <a:ext cx="4096385" cy="8862060"/>
                    </a:xfrm>
                    <a:prstGeom prst="rect">
                      <a:avLst/>
                    </a:prstGeom>
                  </pic:spPr>
                </pic:pic>
              </a:graphicData>
            </a:graphic>
          </wp:inline>
        </w:drawing>
      </w:r>
    </w:p>
    <w:p w:rsidR="00060C56" w:rsidRDefault="004769C0" w:rsidP="004769C0">
      <w:pPr>
        <w:jc w:val="center"/>
        <w:rPr>
          <w:sz w:val="32"/>
          <w:szCs w:val="32"/>
        </w:rPr>
      </w:pPr>
      <w:r>
        <w:rPr>
          <w:rFonts w:hint="eastAsia"/>
          <w:noProof/>
          <w:sz w:val="32"/>
          <w:szCs w:val="32"/>
        </w:rPr>
        <w:lastRenderedPageBreak/>
        <w:drawing>
          <wp:inline distT="0" distB="0" distL="114300" distR="114300">
            <wp:extent cx="4087495" cy="8855710"/>
            <wp:effectExtent l="0" t="0" r="1905" b="8890"/>
            <wp:docPr id="4" name="图片 4" descr="54c27f17f734852855ca8f9f0f07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c27f17f734852855ca8f9f0f074ff"/>
                    <pic:cNvPicPr>
                      <a:picLocks noChangeAspect="1"/>
                    </pic:cNvPicPr>
                  </pic:nvPicPr>
                  <pic:blipFill>
                    <a:blip r:embed="rId6"/>
                    <a:stretch>
                      <a:fillRect/>
                    </a:stretch>
                  </pic:blipFill>
                  <pic:spPr>
                    <a:xfrm>
                      <a:off x="0" y="0"/>
                      <a:ext cx="4087495" cy="8855710"/>
                    </a:xfrm>
                    <a:prstGeom prst="rect">
                      <a:avLst/>
                    </a:prstGeom>
                  </pic:spPr>
                </pic:pic>
              </a:graphicData>
            </a:graphic>
          </wp:inline>
        </w:drawing>
      </w:r>
    </w:p>
    <w:p w:rsidR="00060C56" w:rsidRDefault="004769C0" w:rsidP="004769C0">
      <w:pPr>
        <w:jc w:val="center"/>
        <w:rPr>
          <w:sz w:val="32"/>
          <w:szCs w:val="32"/>
        </w:rPr>
      </w:pPr>
      <w:r>
        <w:rPr>
          <w:rFonts w:hint="eastAsia"/>
          <w:noProof/>
          <w:sz w:val="32"/>
          <w:szCs w:val="32"/>
        </w:rPr>
        <w:lastRenderedPageBreak/>
        <w:drawing>
          <wp:inline distT="0" distB="0" distL="114300" distR="114300">
            <wp:extent cx="4093845" cy="8858885"/>
            <wp:effectExtent l="0" t="0" r="8255" b="5715"/>
            <wp:docPr id="5" name="图片 5" descr="764fe5cbd7cb5f357f6c6d42aaa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64fe5cbd7cb5f357f6c6d42aaa2ef5"/>
                    <pic:cNvPicPr>
                      <a:picLocks noChangeAspect="1"/>
                    </pic:cNvPicPr>
                  </pic:nvPicPr>
                  <pic:blipFill>
                    <a:blip r:embed="rId7"/>
                    <a:stretch>
                      <a:fillRect/>
                    </a:stretch>
                  </pic:blipFill>
                  <pic:spPr>
                    <a:xfrm>
                      <a:off x="0" y="0"/>
                      <a:ext cx="4093845" cy="8858885"/>
                    </a:xfrm>
                    <a:prstGeom prst="rect">
                      <a:avLst/>
                    </a:prstGeom>
                  </pic:spPr>
                </pic:pic>
              </a:graphicData>
            </a:graphic>
          </wp:inline>
        </w:drawing>
      </w:r>
    </w:p>
    <w:p w:rsidR="00060C56" w:rsidRDefault="004769C0">
      <w:pPr>
        <w:ind w:firstLineChars="200" w:firstLine="640"/>
        <w:jc w:val="right"/>
        <w:rPr>
          <w:rFonts w:asciiTheme="minorEastAsia" w:hAnsiTheme="minorEastAsia" w:cstheme="minorEastAsia"/>
          <w:sz w:val="32"/>
          <w:szCs w:val="32"/>
        </w:rPr>
      </w:pPr>
      <w:r>
        <w:rPr>
          <w:rFonts w:asciiTheme="minorEastAsia" w:hAnsiTheme="minorEastAsia" w:cstheme="minorEastAsia" w:hint="eastAsia"/>
          <w:sz w:val="32"/>
          <w:szCs w:val="32"/>
        </w:rPr>
        <w:lastRenderedPageBreak/>
        <w:t>安信证券投教基地</w:t>
      </w:r>
    </w:p>
    <w:p w:rsidR="00060C56" w:rsidRDefault="004769C0">
      <w:pPr>
        <w:ind w:firstLineChars="200" w:firstLine="640"/>
        <w:jc w:val="right"/>
        <w:rPr>
          <w:rFonts w:asciiTheme="minorEastAsia" w:hAnsiTheme="minorEastAsia" w:cstheme="minorEastAsia"/>
          <w:sz w:val="32"/>
          <w:szCs w:val="32"/>
        </w:rPr>
      </w:pPr>
      <w:r>
        <w:rPr>
          <w:rFonts w:asciiTheme="minorEastAsia" w:hAnsiTheme="minorEastAsia" w:cstheme="minorEastAsia" w:hint="eastAsia"/>
          <w:sz w:val="32"/>
          <w:szCs w:val="32"/>
        </w:rPr>
        <w:t>2022</w:t>
      </w:r>
      <w:r>
        <w:rPr>
          <w:rFonts w:asciiTheme="minorEastAsia" w:hAnsiTheme="minorEastAsia" w:cstheme="minorEastAsia" w:hint="eastAsia"/>
          <w:sz w:val="32"/>
          <w:szCs w:val="32"/>
        </w:rPr>
        <w:t>年</w:t>
      </w:r>
      <w:r>
        <w:rPr>
          <w:rFonts w:asciiTheme="minorEastAsia" w:hAnsiTheme="minorEastAsia" w:cstheme="minorEastAsia" w:hint="eastAsia"/>
          <w:sz w:val="32"/>
          <w:szCs w:val="32"/>
        </w:rPr>
        <w:t>12</w:t>
      </w:r>
      <w:r>
        <w:rPr>
          <w:rFonts w:asciiTheme="minorEastAsia" w:hAnsiTheme="minorEastAsia" w:cstheme="minorEastAsia" w:hint="eastAsia"/>
          <w:sz w:val="32"/>
          <w:szCs w:val="32"/>
        </w:rPr>
        <w:t>月</w:t>
      </w:r>
      <w:r>
        <w:rPr>
          <w:rFonts w:asciiTheme="minorEastAsia" w:hAnsiTheme="minorEastAsia" w:cstheme="minorEastAsia" w:hint="eastAsia"/>
          <w:sz w:val="32"/>
          <w:szCs w:val="32"/>
        </w:rPr>
        <w:t>22</w:t>
      </w:r>
      <w:r>
        <w:rPr>
          <w:rFonts w:asciiTheme="minorEastAsia" w:hAnsiTheme="minorEastAsia" w:cstheme="minorEastAsia" w:hint="eastAsia"/>
          <w:sz w:val="32"/>
          <w:szCs w:val="32"/>
        </w:rPr>
        <w:t>日</w:t>
      </w:r>
    </w:p>
    <w:sectPr w:rsidR="00060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56"/>
    <w:rsid w:val="00060C56"/>
    <w:rsid w:val="004769C0"/>
    <w:rsid w:val="0B391963"/>
    <w:rsid w:val="29861F73"/>
    <w:rsid w:val="619D3C4B"/>
    <w:rsid w:val="6462677A"/>
    <w:rsid w:val="708A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BE01C6-7BD9-42CB-B6F8-44107DE2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110</Words>
  <Characters>631</Characters>
  <Application>Microsoft Office Word</Application>
  <DocSecurity>0</DocSecurity>
  <Lines>5</Lines>
  <Paragraphs>1</Paragraphs>
  <ScaleCrop>false</ScaleCrop>
  <Company>HP Inc.</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8618855986864</cp:lastModifiedBy>
  <cp:revision>2</cp:revision>
  <dcterms:created xsi:type="dcterms:W3CDTF">2022-11-30T06:01:00Z</dcterms:created>
  <dcterms:modified xsi:type="dcterms:W3CDTF">2023-02-17T02:41:00Z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51B64445578F411383189D1DBC6B7F04</vt:lpwstr>
  </property>
</Properties>
</file>