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BC083" w14:textId="77777777" w:rsidR="00454268" w:rsidRPr="00454268" w:rsidRDefault="00454268" w:rsidP="00454268">
      <w:pPr>
        <w:widowControl/>
        <w:shd w:val="clear" w:color="auto" w:fill="FFFFFF"/>
        <w:spacing w:after="210"/>
        <w:jc w:val="center"/>
        <w:outlineLvl w:val="0"/>
        <w:rPr>
          <w:rFonts w:ascii="黑体" w:eastAsia="黑体" w:hAnsi="黑体" w:cs="宋体"/>
          <w:color w:val="222222"/>
          <w:spacing w:val="8"/>
          <w:kern w:val="36"/>
          <w:sz w:val="32"/>
          <w:szCs w:val="32"/>
        </w:rPr>
      </w:pPr>
      <w:proofErr w:type="gramStart"/>
      <w:r w:rsidRPr="00454268">
        <w:rPr>
          <w:rFonts w:ascii="黑体" w:eastAsia="黑体" w:hAnsi="黑体" w:cs="宋体" w:hint="eastAsia"/>
          <w:color w:val="222222"/>
          <w:spacing w:val="8"/>
          <w:kern w:val="36"/>
          <w:sz w:val="32"/>
          <w:szCs w:val="32"/>
        </w:rPr>
        <w:t>投教进</w:t>
      </w:r>
      <w:proofErr w:type="gramEnd"/>
      <w:r w:rsidRPr="00454268">
        <w:rPr>
          <w:rFonts w:ascii="黑体" w:eastAsia="黑体" w:hAnsi="黑体" w:cs="宋体" w:hint="eastAsia"/>
          <w:color w:val="222222"/>
          <w:spacing w:val="8"/>
          <w:kern w:val="36"/>
          <w:sz w:val="32"/>
          <w:szCs w:val="32"/>
        </w:rPr>
        <w:t>校园 | 天风证券为华中农业大学研究生分享ESG实践经验</w:t>
      </w:r>
    </w:p>
    <w:p w14:paraId="4463A773" w14:textId="77777777" w:rsidR="00454268" w:rsidRPr="00454268" w:rsidRDefault="00454268" w:rsidP="00454268">
      <w:pPr>
        <w:widowControl/>
        <w:spacing w:after="225"/>
        <w:ind w:firstLineChars="200" w:firstLine="560"/>
        <w:jc w:val="left"/>
        <w:rPr>
          <w:rFonts w:ascii="仿宋" w:eastAsia="仿宋" w:hAnsi="仿宋" w:cs="宋体"/>
          <w:kern w:val="0"/>
          <w:sz w:val="28"/>
          <w:szCs w:val="28"/>
        </w:rPr>
      </w:pPr>
      <w:r w:rsidRPr="00454268">
        <w:rPr>
          <w:rFonts w:ascii="仿宋" w:eastAsia="仿宋" w:hAnsi="仿宋" w:cs="宋体"/>
          <w:kern w:val="0"/>
          <w:sz w:val="28"/>
          <w:szCs w:val="28"/>
        </w:rPr>
        <w:t>2022年11月6日上午，天风证券党委副书记、华中农业大学硕士研究生校外导师浦海龙代表公司ESG工作协调推进小组为党建共建单位华中农业大学的90余名MBA工商管理专业硕士研究生分享天风证券ESG实践情况。华中农业大学MBA专业教师王勇、公司党委社会责任部、ESG工作协调推进小组办公室有关成员参加交流活动。活动通过线</w:t>
      </w:r>
      <w:proofErr w:type="gramStart"/>
      <w:r w:rsidRPr="00454268">
        <w:rPr>
          <w:rFonts w:ascii="仿宋" w:eastAsia="仿宋" w:hAnsi="仿宋" w:cs="宋体"/>
          <w:kern w:val="0"/>
          <w:sz w:val="28"/>
          <w:szCs w:val="28"/>
        </w:rPr>
        <w:t>上方式</w:t>
      </w:r>
      <w:proofErr w:type="gramEnd"/>
      <w:r w:rsidRPr="00454268">
        <w:rPr>
          <w:rFonts w:ascii="仿宋" w:eastAsia="仿宋" w:hAnsi="仿宋" w:cs="宋体"/>
          <w:kern w:val="0"/>
          <w:sz w:val="28"/>
          <w:szCs w:val="28"/>
        </w:rPr>
        <w:t>开展。</w:t>
      </w:r>
    </w:p>
    <w:p w14:paraId="3E1BD0E0" w14:textId="77777777" w:rsidR="00454268" w:rsidRPr="00454268" w:rsidRDefault="00454268" w:rsidP="00454268">
      <w:pPr>
        <w:widowControl/>
        <w:ind w:firstLineChars="200" w:firstLine="560"/>
        <w:jc w:val="left"/>
        <w:rPr>
          <w:rFonts w:ascii="仿宋" w:eastAsia="仿宋" w:hAnsi="仿宋" w:cs="宋体"/>
          <w:kern w:val="0"/>
          <w:sz w:val="28"/>
          <w:szCs w:val="28"/>
        </w:rPr>
      </w:pPr>
      <w:r w:rsidRPr="00454268">
        <w:rPr>
          <w:rFonts w:ascii="仿宋" w:eastAsia="仿宋" w:hAnsi="仿宋" w:cs="宋体"/>
          <w:kern w:val="0"/>
          <w:sz w:val="28"/>
          <w:szCs w:val="28"/>
        </w:rPr>
        <w:t>自2021年天风证券与华中农业大学结为党建共建单位以来，天风证券已多次与华中农业大学教育基金会、经管学院、校友会等有关院部单位深化合作。本次ESG经验分享，是公司第二次作为华中农业大学硕士研究生校外导师进行理论与实践经验交流。</w:t>
      </w:r>
    </w:p>
    <w:p w14:paraId="4C290302" w14:textId="3671FA62" w:rsidR="00454268" w:rsidRPr="00454268" w:rsidRDefault="00454268" w:rsidP="00454268">
      <w:pPr>
        <w:widowControl/>
        <w:jc w:val="center"/>
        <w:rPr>
          <w:rFonts w:ascii="仿宋" w:eastAsia="仿宋" w:hAnsi="仿宋" w:cs="宋体"/>
          <w:kern w:val="0"/>
          <w:sz w:val="28"/>
          <w:szCs w:val="28"/>
        </w:rPr>
      </w:pPr>
      <w:r w:rsidRPr="00454268">
        <w:rPr>
          <w:rFonts w:ascii="仿宋" w:eastAsia="仿宋" w:hAnsi="仿宋" w:cs="宋体"/>
          <w:noProof/>
          <w:kern w:val="0"/>
          <w:sz w:val="28"/>
          <w:szCs w:val="28"/>
        </w:rPr>
        <w:drawing>
          <wp:inline distT="0" distB="0" distL="0" distR="0" wp14:anchorId="6E10577F" wp14:editId="4675F62D">
            <wp:extent cx="5274310" cy="3681095"/>
            <wp:effectExtent l="0" t="0" r="254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3681095"/>
                    </a:xfrm>
                    <a:prstGeom prst="rect">
                      <a:avLst/>
                    </a:prstGeom>
                    <a:noFill/>
                    <a:ln>
                      <a:noFill/>
                    </a:ln>
                  </pic:spPr>
                </pic:pic>
              </a:graphicData>
            </a:graphic>
          </wp:inline>
        </w:drawing>
      </w:r>
    </w:p>
    <w:p w14:paraId="5C653133" w14:textId="76C22E9E" w:rsidR="00454268" w:rsidRPr="00454268" w:rsidRDefault="00454268" w:rsidP="00454268">
      <w:pPr>
        <w:widowControl/>
        <w:ind w:firstLineChars="200" w:firstLine="560"/>
        <w:jc w:val="center"/>
        <w:rPr>
          <w:rFonts w:ascii="仿宋" w:eastAsia="仿宋" w:hAnsi="仿宋" w:cs="宋体"/>
          <w:color w:val="808080" w:themeColor="background1" w:themeShade="80"/>
          <w:kern w:val="0"/>
          <w:sz w:val="28"/>
          <w:szCs w:val="28"/>
        </w:rPr>
      </w:pPr>
      <w:r w:rsidRPr="00454268">
        <w:rPr>
          <w:rFonts w:ascii="仿宋" w:eastAsia="仿宋" w:hAnsi="仿宋" w:cs="宋体"/>
          <w:color w:val="808080" w:themeColor="background1" w:themeShade="80"/>
          <w:kern w:val="0"/>
          <w:sz w:val="28"/>
          <w:szCs w:val="28"/>
        </w:rPr>
        <w:lastRenderedPageBreak/>
        <w:t>天风证券为华中农业大学研究生分享ESG实践经验</w:t>
      </w:r>
    </w:p>
    <w:p w14:paraId="128347BB" w14:textId="77777777" w:rsidR="00454268" w:rsidRPr="00454268" w:rsidRDefault="00454268" w:rsidP="00454268">
      <w:pPr>
        <w:widowControl/>
        <w:ind w:firstLineChars="200" w:firstLine="560"/>
        <w:jc w:val="left"/>
        <w:rPr>
          <w:rFonts w:ascii="仿宋" w:eastAsia="仿宋" w:hAnsi="仿宋" w:cs="宋体" w:hint="eastAsia"/>
          <w:kern w:val="0"/>
          <w:sz w:val="28"/>
          <w:szCs w:val="28"/>
        </w:rPr>
      </w:pPr>
    </w:p>
    <w:p w14:paraId="311D6AB0" w14:textId="77777777" w:rsidR="00454268" w:rsidRPr="00454268" w:rsidRDefault="00454268" w:rsidP="00454268">
      <w:pPr>
        <w:widowControl/>
        <w:spacing w:after="225"/>
        <w:ind w:firstLineChars="200" w:firstLine="560"/>
        <w:jc w:val="left"/>
        <w:rPr>
          <w:rFonts w:ascii="仿宋" w:eastAsia="仿宋" w:hAnsi="仿宋" w:cs="宋体"/>
          <w:kern w:val="0"/>
          <w:sz w:val="28"/>
          <w:szCs w:val="28"/>
        </w:rPr>
      </w:pPr>
      <w:r w:rsidRPr="00454268">
        <w:rPr>
          <w:rFonts w:ascii="仿宋" w:eastAsia="仿宋" w:hAnsi="仿宋" w:cs="宋体"/>
          <w:kern w:val="0"/>
          <w:sz w:val="28"/>
          <w:szCs w:val="28"/>
        </w:rPr>
        <w:t>分享活动中，浦海龙从什么是ESG、企业为什么要开展ESG入手，详细介绍了国资主导的市场化金融机构为什么要以党建工作引领ESG建设、如何加强企业的公司治理、天风证券如何发力绿色金融、如何依托天风证券欣</w:t>
      </w:r>
      <w:proofErr w:type="gramStart"/>
      <w:r w:rsidRPr="00454268">
        <w:rPr>
          <w:rFonts w:ascii="仿宋" w:eastAsia="仿宋" w:hAnsi="仿宋" w:cs="宋体"/>
          <w:kern w:val="0"/>
          <w:sz w:val="28"/>
          <w:szCs w:val="28"/>
        </w:rPr>
        <w:t>鑫</w:t>
      </w:r>
      <w:proofErr w:type="gramEnd"/>
      <w:r w:rsidRPr="00454268">
        <w:rPr>
          <w:rFonts w:ascii="仿宋" w:eastAsia="仿宋" w:hAnsi="仿宋" w:cs="宋体"/>
          <w:kern w:val="0"/>
          <w:sz w:val="28"/>
          <w:szCs w:val="28"/>
        </w:rPr>
        <w:t>慈善基金会推进慈善公益、天风证券的乡村振兴创新实践等议题，并与MBA学子深入交流企业如何在党建引领下加强内部治理。</w:t>
      </w:r>
    </w:p>
    <w:p w14:paraId="5092B0C3" w14:textId="77777777" w:rsidR="00454268" w:rsidRPr="00454268" w:rsidRDefault="00454268" w:rsidP="00454268">
      <w:pPr>
        <w:widowControl/>
        <w:spacing w:after="225"/>
        <w:ind w:firstLineChars="200" w:firstLine="560"/>
        <w:jc w:val="left"/>
        <w:rPr>
          <w:rFonts w:ascii="仿宋" w:eastAsia="仿宋" w:hAnsi="仿宋" w:cs="宋体"/>
          <w:kern w:val="0"/>
          <w:sz w:val="28"/>
          <w:szCs w:val="28"/>
        </w:rPr>
      </w:pPr>
      <w:r w:rsidRPr="00454268">
        <w:rPr>
          <w:rFonts w:ascii="仿宋" w:eastAsia="仿宋" w:hAnsi="仿宋" w:cs="宋体"/>
          <w:kern w:val="0"/>
          <w:sz w:val="28"/>
          <w:szCs w:val="28"/>
        </w:rPr>
        <w:t>活动中，同学们认真听讲、积极讨论。“如何将党建工作与ESG工作相融合？”“如何将党建工作与主营业务相融合？”“社会责任可以为企业带来哪些经济效益？”同学们纷纷提问，互动交流热烈。浦海龙结合天风</w:t>
      </w:r>
      <w:proofErr w:type="gramStart"/>
      <w:r w:rsidRPr="00454268">
        <w:rPr>
          <w:rFonts w:ascii="仿宋" w:eastAsia="仿宋" w:hAnsi="仿宋" w:cs="宋体"/>
          <w:kern w:val="0"/>
          <w:sz w:val="28"/>
          <w:szCs w:val="28"/>
        </w:rPr>
        <w:t>证券党建</w:t>
      </w:r>
      <w:proofErr w:type="gramEnd"/>
      <w:r w:rsidRPr="00454268">
        <w:rPr>
          <w:rFonts w:ascii="仿宋" w:eastAsia="仿宋" w:hAnsi="仿宋" w:cs="宋体"/>
          <w:kern w:val="0"/>
          <w:sz w:val="28"/>
          <w:szCs w:val="28"/>
        </w:rPr>
        <w:t>引领下的ESG实践一一作答。</w:t>
      </w:r>
    </w:p>
    <w:p w14:paraId="269405FA" w14:textId="6DCE82CB" w:rsidR="00454268" w:rsidRPr="00454268" w:rsidRDefault="00454268" w:rsidP="00454268">
      <w:pPr>
        <w:widowControl/>
        <w:ind w:firstLineChars="200" w:firstLine="560"/>
        <w:jc w:val="left"/>
        <w:rPr>
          <w:rFonts w:ascii="仿宋" w:eastAsia="仿宋" w:hAnsi="仿宋" w:cs="宋体"/>
          <w:kern w:val="0"/>
          <w:sz w:val="28"/>
          <w:szCs w:val="28"/>
        </w:rPr>
      </w:pPr>
      <w:r w:rsidRPr="00454268">
        <w:rPr>
          <w:rFonts w:ascii="仿宋" w:eastAsia="仿宋" w:hAnsi="仿宋" w:cs="宋体"/>
          <w:kern w:val="0"/>
          <w:sz w:val="28"/>
          <w:szCs w:val="28"/>
        </w:rPr>
        <w:t>“党的二十大明确指出，要‘推进国有企业、金融企业在完善公司治理中加强党的领导，加强混合所有制企业、非公有制企业党建工作，理顺行业协会、学会、商会党建工作管理体制。加强新经济组织、新社会组织、新就业群体党的建设。’无论企业的规模大小与所有制性质，都应该将党建放在公司治理的突出位置，都应该积极</w:t>
      </w:r>
      <w:proofErr w:type="gramStart"/>
      <w:r w:rsidRPr="00454268">
        <w:rPr>
          <w:rFonts w:ascii="仿宋" w:eastAsia="仿宋" w:hAnsi="仿宋" w:cs="宋体"/>
          <w:kern w:val="0"/>
          <w:sz w:val="28"/>
          <w:szCs w:val="28"/>
        </w:rPr>
        <w:t>践行</w:t>
      </w:r>
      <w:proofErr w:type="gramEnd"/>
      <w:r w:rsidRPr="00454268">
        <w:rPr>
          <w:rFonts w:ascii="仿宋" w:eastAsia="仿宋" w:hAnsi="仿宋" w:cs="宋体"/>
          <w:kern w:val="0"/>
          <w:sz w:val="28"/>
          <w:szCs w:val="28"/>
        </w:rPr>
        <w:t>环境、社会及公司治理责任。”浦海龙在结语中指出。同学们表示本次活动干货满满，</w:t>
      </w:r>
      <w:proofErr w:type="gramStart"/>
      <w:r w:rsidRPr="00454268">
        <w:rPr>
          <w:rFonts w:ascii="仿宋" w:eastAsia="仿宋" w:hAnsi="仿宋" w:cs="宋体"/>
          <w:kern w:val="0"/>
          <w:sz w:val="28"/>
          <w:szCs w:val="28"/>
        </w:rPr>
        <w:t>课后将</w:t>
      </w:r>
      <w:proofErr w:type="gramEnd"/>
      <w:r w:rsidRPr="00454268">
        <w:rPr>
          <w:rFonts w:ascii="仿宋" w:eastAsia="仿宋" w:hAnsi="仿宋" w:cs="宋体"/>
          <w:kern w:val="0"/>
          <w:sz w:val="28"/>
          <w:szCs w:val="28"/>
        </w:rPr>
        <w:t>与所在企业负责人研究加强ESG管理，促进企业的可持续发展。</w:t>
      </w:r>
    </w:p>
    <w:p w14:paraId="267C8774" w14:textId="278887B8" w:rsidR="00454268" w:rsidRPr="00454268" w:rsidRDefault="00454268" w:rsidP="00454268">
      <w:pPr>
        <w:widowControl/>
        <w:jc w:val="center"/>
        <w:rPr>
          <w:rFonts w:ascii="仿宋" w:eastAsia="仿宋" w:hAnsi="仿宋" w:cs="宋体"/>
          <w:kern w:val="0"/>
          <w:sz w:val="28"/>
          <w:szCs w:val="28"/>
        </w:rPr>
      </w:pPr>
      <w:r w:rsidRPr="00454268">
        <w:rPr>
          <w:rFonts w:ascii="仿宋" w:eastAsia="仿宋" w:hAnsi="仿宋" w:cs="宋体"/>
          <w:noProof/>
          <w:kern w:val="0"/>
          <w:sz w:val="28"/>
          <w:szCs w:val="28"/>
        </w:rPr>
        <w:lastRenderedPageBreak/>
        <w:drawing>
          <wp:inline distT="0" distB="0" distL="0" distR="0" wp14:anchorId="07F3DBCA" wp14:editId="3919617F">
            <wp:extent cx="4248443" cy="2965111"/>
            <wp:effectExtent l="0" t="0" r="0" b="6985"/>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85548" cy="2991008"/>
                    </a:xfrm>
                    <a:prstGeom prst="rect">
                      <a:avLst/>
                    </a:prstGeom>
                    <a:noFill/>
                    <a:ln>
                      <a:noFill/>
                    </a:ln>
                  </pic:spPr>
                </pic:pic>
              </a:graphicData>
            </a:graphic>
          </wp:inline>
        </w:drawing>
      </w:r>
    </w:p>
    <w:p w14:paraId="3BCB59A3" w14:textId="17260065" w:rsidR="00454268" w:rsidRPr="00454268" w:rsidRDefault="00454268" w:rsidP="00454268">
      <w:pPr>
        <w:widowControl/>
        <w:jc w:val="center"/>
        <w:rPr>
          <w:rFonts w:ascii="仿宋" w:eastAsia="仿宋" w:hAnsi="仿宋" w:cs="宋体" w:hint="eastAsia"/>
          <w:kern w:val="0"/>
          <w:sz w:val="28"/>
          <w:szCs w:val="28"/>
        </w:rPr>
      </w:pPr>
      <w:r w:rsidRPr="00454268">
        <w:rPr>
          <w:rFonts w:ascii="仿宋" w:eastAsia="仿宋" w:hAnsi="仿宋" w:cs="宋体"/>
          <w:noProof/>
          <w:kern w:val="0"/>
          <w:sz w:val="28"/>
          <w:szCs w:val="28"/>
        </w:rPr>
        <w:drawing>
          <wp:inline distT="0" distB="0" distL="0" distR="0" wp14:anchorId="27E9D904" wp14:editId="73FBDC24">
            <wp:extent cx="4304713" cy="3004385"/>
            <wp:effectExtent l="0" t="0" r="635" b="5715"/>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24521" cy="3018210"/>
                    </a:xfrm>
                    <a:prstGeom prst="rect">
                      <a:avLst/>
                    </a:prstGeom>
                    <a:noFill/>
                    <a:ln>
                      <a:noFill/>
                    </a:ln>
                  </pic:spPr>
                </pic:pic>
              </a:graphicData>
            </a:graphic>
          </wp:inline>
        </w:drawing>
      </w:r>
    </w:p>
    <w:p w14:paraId="17B61932" w14:textId="615FF5BD" w:rsidR="00454268" w:rsidRPr="00454268" w:rsidRDefault="00454268" w:rsidP="00454268">
      <w:pPr>
        <w:widowControl/>
        <w:jc w:val="center"/>
        <w:rPr>
          <w:rFonts w:ascii="仿宋" w:eastAsia="仿宋" w:hAnsi="仿宋" w:cs="宋体"/>
          <w:kern w:val="0"/>
          <w:sz w:val="28"/>
          <w:szCs w:val="28"/>
        </w:rPr>
      </w:pPr>
      <w:r w:rsidRPr="00454268">
        <w:rPr>
          <w:rFonts w:ascii="仿宋" w:eastAsia="仿宋" w:hAnsi="仿宋" w:cs="宋体"/>
          <w:noProof/>
          <w:kern w:val="0"/>
          <w:sz w:val="28"/>
          <w:szCs w:val="28"/>
        </w:rPr>
        <w:lastRenderedPageBreak/>
        <w:drawing>
          <wp:inline distT="0" distB="0" distL="0" distR="0" wp14:anchorId="111742A0" wp14:editId="77844E56">
            <wp:extent cx="4438356" cy="3097659"/>
            <wp:effectExtent l="0" t="0" r="635" b="762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4068" cy="3101646"/>
                    </a:xfrm>
                    <a:prstGeom prst="rect">
                      <a:avLst/>
                    </a:prstGeom>
                    <a:noFill/>
                    <a:ln>
                      <a:noFill/>
                    </a:ln>
                  </pic:spPr>
                </pic:pic>
              </a:graphicData>
            </a:graphic>
          </wp:inline>
        </w:drawing>
      </w:r>
    </w:p>
    <w:p w14:paraId="6DCC4CDE" w14:textId="77777777" w:rsidR="00454268" w:rsidRPr="00454268" w:rsidRDefault="00454268" w:rsidP="00454268">
      <w:pPr>
        <w:widowControl/>
        <w:ind w:firstLineChars="200" w:firstLine="560"/>
        <w:jc w:val="center"/>
        <w:rPr>
          <w:rFonts w:ascii="仿宋" w:eastAsia="仿宋" w:hAnsi="仿宋" w:cs="宋体"/>
          <w:kern w:val="0"/>
          <w:sz w:val="28"/>
          <w:szCs w:val="28"/>
        </w:rPr>
      </w:pPr>
    </w:p>
    <w:p w14:paraId="27B101EC" w14:textId="2E14C4BD" w:rsidR="00454268" w:rsidRPr="00454268" w:rsidRDefault="00454268" w:rsidP="00454268">
      <w:pPr>
        <w:widowControl/>
        <w:spacing w:after="225"/>
        <w:ind w:firstLineChars="200" w:firstLine="560"/>
        <w:jc w:val="left"/>
        <w:rPr>
          <w:rFonts w:ascii="仿宋" w:eastAsia="仿宋" w:hAnsi="仿宋" w:cs="宋体"/>
          <w:kern w:val="0"/>
          <w:sz w:val="28"/>
          <w:szCs w:val="28"/>
        </w:rPr>
      </w:pPr>
      <w:r w:rsidRPr="00454268">
        <w:rPr>
          <w:rFonts w:ascii="仿宋" w:eastAsia="仿宋" w:hAnsi="仿宋" w:cs="宋体"/>
          <w:kern w:val="0"/>
          <w:sz w:val="28"/>
          <w:szCs w:val="28"/>
        </w:rPr>
        <w:t>长期以来，天风证券在党建引领下积极将环境（E）、社会（S）及公司治理（G）融入公司经营管理的各个方面，建立健全ESG管治架构、完善ESG管理运行机制，持续将公司的责任理念和对利益相关方的承诺转化为具体行动。接下来，天风证券将继续全面贯彻习近平新时代中国特色社会主义思想，在党的二十大精神指引下，以责任金融实践助力全面建成社会主义现代化国家。</w:t>
      </w:r>
    </w:p>
    <w:p w14:paraId="3912FBBB" w14:textId="77777777" w:rsidR="00041B25" w:rsidRPr="00454268" w:rsidRDefault="00041B25" w:rsidP="00454268">
      <w:pPr>
        <w:ind w:firstLineChars="200" w:firstLine="420"/>
        <w:rPr>
          <w:rFonts w:ascii="仿宋" w:eastAsia="仿宋" w:hAnsi="仿宋"/>
        </w:rPr>
      </w:pPr>
    </w:p>
    <w:sectPr w:rsidR="00041B25" w:rsidRPr="0045426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268"/>
    <w:rsid w:val="00041B25"/>
    <w:rsid w:val="004542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4AD78"/>
  <w15:chartTrackingRefBased/>
  <w15:docId w15:val="{BFB808E3-DF0C-4A51-A72F-B09B7F836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45426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54268"/>
    <w:rPr>
      <w:rFonts w:ascii="宋体" w:eastAsia="宋体" w:hAnsi="宋体" w:cs="宋体"/>
      <w:b/>
      <w:bCs/>
      <w:kern w:val="36"/>
      <w:sz w:val="48"/>
      <w:szCs w:val="48"/>
    </w:rPr>
  </w:style>
  <w:style w:type="paragraph" w:styleId="a3">
    <w:name w:val="Normal (Web)"/>
    <w:basedOn w:val="a"/>
    <w:uiPriority w:val="99"/>
    <w:semiHidden/>
    <w:unhideWhenUsed/>
    <w:rsid w:val="00454268"/>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868264">
      <w:bodyDiv w:val="1"/>
      <w:marLeft w:val="0"/>
      <w:marRight w:val="0"/>
      <w:marTop w:val="0"/>
      <w:marBottom w:val="0"/>
      <w:divBdr>
        <w:top w:val="none" w:sz="0" w:space="0" w:color="auto"/>
        <w:left w:val="none" w:sz="0" w:space="0" w:color="auto"/>
        <w:bottom w:val="none" w:sz="0" w:space="0" w:color="auto"/>
        <w:right w:val="none" w:sz="0" w:space="0" w:color="auto"/>
      </w:divBdr>
    </w:div>
    <w:div w:id="1951158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150</Words>
  <Characters>858</Characters>
  <Application>Microsoft Office Word</Application>
  <DocSecurity>0</DocSecurity>
  <Lines>7</Lines>
  <Paragraphs>2</Paragraphs>
  <ScaleCrop>false</ScaleCrop>
  <Company/>
  <LinksUpToDate>false</LinksUpToDate>
  <CharactersWithSpaces>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mao yanli</dc:creator>
  <cp:keywords/>
  <dc:description/>
  <cp:lastModifiedBy>mao yanli</cp:lastModifiedBy>
  <cp:revision>1</cp:revision>
  <dcterms:created xsi:type="dcterms:W3CDTF">2022-11-09T08:44:00Z</dcterms:created>
  <dcterms:modified xsi:type="dcterms:W3CDTF">2022-11-09T08:48:00Z</dcterms:modified>
</cp:coreProperties>
</file>