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73E9" w14:textId="77777777" w:rsidR="003C6D2C" w:rsidRDefault="00000000">
      <w:pPr>
        <w:spacing w:line="360" w:lineRule="auto"/>
        <w:jc w:val="both"/>
        <w:rPr>
          <w:rFonts w:ascii="黑体" w:eastAsia="黑体" w:hAnsi="黑体"/>
          <w:b/>
          <w:bCs/>
          <w:sz w:val="28"/>
          <w:szCs w:val="28"/>
          <w:lang w:eastAsia="zh-CN"/>
        </w:rPr>
      </w:pPr>
      <w:r>
        <w:rPr>
          <w:rFonts w:ascii="黑体" w:eastAsia="黑体" w:hAnsi="黑体"/>
          <w:b/>
          <w:bCs/>
          <w:sz w:val="28"/>
          <w:szCs w:val="28"/>
          <w:lang w:eastAsia="zh-CN"/>
        </w:rPr>
        <w:t>投教进校园 | 北交所联合天风证券在华中师范大学开展</w:t>
      </w:r>
      <w:r>
        <w:rPr>
          <w:rFonts w:ascii="黑体" w:eastAsia="黑体" w:hAnsi="黑体"/>
          <w:b/>
          <w:bCs/>
          <w:sz w:val="28"/>
          <w:szCs w:val="28"/>
          <w:rtl/>
        </w:rPr>
        <w:t>“</w:t>
      </w:r>
      <w:r>
        <w:rPr>
          <w:rFonts w:ascii="黑体" w:eastAsia="黑体" w:hAnsi="黑体" w:hint="eastAsia"/>
          <w:b/>
          <w:bCs/>
          <w:sz w:val="28"/>
          <w:szCs w:val="28"/>
          <w:lang w:eastAsia="zh-CN"/>
        </w:rPr>
        <w:t>绿色金融</w:t>
      </w:r>
      <w:r>
        <w:rPr>
          <w:rFonts w:ascii="黑体" w:eastAsia="黑体" w:hAnsi="黑体"/>
          <w:b/>
          <w:bCs/>
          <w:sz w:val="28"/>
          <w:szCs w:val="28"/>
          <w:lang w:eastAsia="zh-CN"/>
        </w:rPr>
        <w:t>”专题讲座</w:t>
      </w:r>
    </w:p>
    <w:p w14:paraId="49208E8E" w14:textId="77777777" w:rsidR="003C6D2C" w:rsidRDefault="003C6D2C">
      <w:pPr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</w:pPr>
    </w:p>
    <w:p w14:paraId="6E2792BF" w14:textId="27394077" w:rsidR="003C6D2C" w:rsidRDefault="00000000" w:rsidP="006B71E2">
      <w:pPr>
        <w:spacing w:line="360" w:lineRule="auto"/>
        <w:ind w:firstLineChars="200" w:firstLine="56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为持续推动投资者教育纳入国民教育体系，面向大学生群体普及我国资本市场基础知识，了解证券期货市场前沿动态，</w:t>
      </w:r>
      <w:r>
        <w:rPr>
          <w:rFonts w:ascii="仿宋" w:eastAsia="仿宋" w:hAnsi="仿宋"/>
          <w:sz w:val="28"/>
          <w:szCs w:val="28"/>
          <w:lang w:eastAsia="zh-CN"/>
        </w:rPr>
        <w:t>11</w:t>
      </w:r>
      <w:r>
        <w:rPr>
          <w:rFonts w:ascii="仿宋" w:eastAsia="仿宋" w:hAnsi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/>
          <w:sz w:val="28"/>
          <w:szCs w:val="28"/>
          <w:lang w:eastAsia="zh-CN"/>
        </w:rPr>
        <w:t>30</w:t>
      </w:r>
      <w:r>
        <w:rPr>
          <w:rFonts w:ascii="仿宋" w:eastAsia="仿宋" w:hAnsi="仿宋" w:hint="eastAsia"/>
          <w:sz w:val="28"/>
          <w:szCs w:val="28"/>
          <w:lang w:eastAsia="zh-CN"/>
        </w:rPr>
        <w:t>日，由北京证券交易所、天风证券、华中师范大学联合推出的投资者教育</w:t>
      </w:r>
      <w:r>
        <w:rPr>
          <w:rFonts w:ascii="仿宋" w:eastAsia="仿宋" w:hAnsi="仿宋"/>
          <w:sz w:val="28"/>
          <w:szCs w:val="28"/>
          <w:rtl/>
        </w:rPr>
        <w:t>“</w:t>
      </w:r>
      <w:r>
        <w:rPr>
          <w:rFonts w:ascii="仿宋" w:eastAsia="仿宋" w:hAnsi="仿宋" w:hint="eastAsia"/>
          <w:sz w:val="28"/>
          <w:szCs w:val="28"/>
          <w:lang w:eastAsia="zh-CN"/>
        </w:rPr>
        <w:t>绿色金融</w:t>
      </w:r>
      <w:r>
        <w:rPr>
          <w:rFonts w:ascii="仿宋" w:eastAsia="仿宋" w:hAnsi="仿宋"/>
          <w:sz w:val="28"/>
          <w:szCs w:val="28"/>
          <w:lang w:eastAsia="zh-CN"/>
        </w:rPr>
        <w:t>”</w:t>
      </w:r>
      <w:r>
        <w:rPr>
          <w:rFonts w:ascii="仿宋" w:eastAsia="仿宋" w:hAnsi="仿宋" w:hint="eastAsia"/>
          <w:sz w:val="28"/>
          <w:szCs w:val="28"/>
          <w:lang w:eastAsia="zh-CN"/>
        </w:rPr>
        <w:t>专业课程在华中师范大学持续开展，北京证券交易所投资者服务部执行经理顾筝筝受邀为高校学生带来</w:t>
      </w:r>
      <w:r>
        <w:rPr>
          <w:rFonts w:ascii="仿宋" w:eastAsia="仿宋" w:hAnsi="仿宋"/>
          <w:sz w:val="28"/>
          <w:szCs w:val="28"/>
          <w:rtl/>
        </w:rPr>
        <w:t>“</w:t>
      </w:r>
      <w:r>
        <w:rPr>
          <w:rFonts w:ascii="仿宋" w:eastAsia="仿宋" w:hAnsi="仿宋" w:hint="eastAsia"/>
          <w:sz w:val="28"/>
          <w:szCs w:val="28"/>
          <w:lang w:eastAsia="zh-CN"/>
        </w:rPr>
        <w:t>支持绿色金融发展，我国多层次资本市场简介</w:t>
      </w:r>
      <w:r>
        <w:rPr>
          <w:rFonts w:ascii="仿宋" w:eastAsia="仿宋" w:hAnsi="仿宋"/>
          <w:sz w:val="28"/>
          <w:szCs w:val="28"/>
          <w:lang w:eastAsia="zh-CN"/>
        </w:rPr>
        <w:t>”</w:t>
      </w:r>
      <w:r>
        <w:rPr>
          <w:rFonts w:ascii="仿宋" w:eastAsia="仿宋" w:hAnsi="仿宋" w:hint="eastAsia"/>
          <w:sz w:val="28"/>
          <w:szCs w:val="28"/>
          <w:lang w:eastAsia="zh-CN"/>
        </w:rPr>
        <w:t>主题讲座。</w:t>
      </w:r>
    </w:p>
    <w:p w14:paraId="49479CAD" w14:textId="663F4330" w:rsidR="003C6D2C" w:rsidRDefault="00000000" w:rsidP="00C34D2E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课程中，顾筝筝以我国资本市场发展初期沪深交易所相继建立的故事，带领同学们穿越我国3</w:t>
      </w:r>
      <w:r>
        <w:rPr>
          <w:rFonts w:ascii="仿宋" w:eastAsia="仿宋" w:hAnsi="仿宋"/>
          <w:sz w:val="28"/>
          <w:szCs w:val="28"/>
          <w:lang w:eastAsia="zh-CN"/>
        </w:rPr>
        <w:t>0</w:t>
      </w:r>
      <w:r>
        <w:rPr>
          <w:rFonts w:ascii="仿宋" w:eastAsia="仿宋" w:hAnsi="仿宋" w:hint="eastAsia"/>
          <w:sz w:val="28"/>
          <w:szCs w:val="28"/>
          <w:lang w:eastAsia="zh-CN"/>
        </w:rPr>
        <w:t>余年资本市场发展大事记，帮助同学们了解我国资本市场的发展与成就，并对包括沪深交易所、北交所、新三板、区域股权市场等在内的多层次市场的划分、各层市场的共性、特色与区别等进行了详细的讲解。她还</w:t>
      </w:r>
      <w:r w:rsidR="00C34D2E">
        <w:rPr>
          <w:rFonts w:ascii="仿宋" w:eastAsia="仿宋" w:hAnsi="仿宋" w:hint="eastAsia"/>
          <w:sz w:val="28"/>
          <w:szCs w:val="28"/>
          <w:lang w:eastAsia="zh-CN"/>
        </w:rPr>
        <w:t>介绍了</w:t>
      </w:r>
      <w:r>
        <w:rPr>
          <w:rFonts w:ascii="仿宋" w:eastAsia="仿宋" w:hAnsi="仿宋" w:hint="eastAsia"/>
          <w:sz w:val="28"/>
          <w:szCs w:val="28"/>
          <w:lang w:eastAsia="zh-CN"/>
        </w:rPr>
        <w:t>北京证券交易所建立一年以来的实际运行状况</w:t>
      </w:r>
      <w:r w:rsidR="00C34D2E">
        <w:rPr>
          <w:rFonts w:ascii="仿宋" w:eastAsia="仿宋" w:hAnsi="仿宋" w:hint="eastAsia"/>
          <w:sz w:val="28"/>
          <w:szCs w:val="28"/>
          <w:lang w:eastAsia="zh-CN"/>
        </w:rPr>
        <w:t>以及制度建设</w:t>
      </w:r>
      <w:r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03540E">
        <w:rPr>
          <w:rFonts w:ascii="仿宋" w:eastAsia="仿宋" w:hAnsi="仿宋" w:hint="eastAsia"/>
          <w:sz w:val="28"/>
          <w:szCs w:val="28"/>
          <w:lang w:eastAsia="zh-CN"/>
        </w:rPr>
        <w:t>并以</w:t>
      </w:r>
      <w:r w:rsidR="00C34D2E">
        <w:rPr>
          <w:rFonts w:ascii="仿宋" w:eastAsia="仿宋" w:hAnsi="仿宋" w:hint="eastAsia"/>
          <w:sz w:val="28"/>
          <w:szCs w:val="28"/>
          <w:lang w:eastAsia="zh-CN"/>
        </w:rPr>
        <w:t>“</w:t>
      </w:r>
      <w:r w:rsidR="0003540E">
        <w:rPr>
          <w:rFonts w:ascii="仿宋" w:eastAsia="仿宋" w:hAnsi="仿宋" w:hint="eastAsia"/>
          <w:sz w:val="28"/>
          <w:szCs w:val="28"/>
          <w:lang w:eastAsia="zh-Hans"/>
        </w:rPr>
        <w:t>资本市场对绿色产业的支持</w:t>
      </w:r>
      <w:r w:rsidR="00C34D2E">
        <w:rPr>
          <w:rFonts w:ascii="仿宋" w:eastAsia="仿宋" w:hAnsi="仿宋" w:hint="eastAsia"/>
          <w:sz w:val="28"/>
          <w:szCs w:val="28"/>
          <w:lang w:eastAsia="zh-Hans"/>
        </w:rPr>
        <w:t>服务”以及“</w:t>
      </w:r>
      <w:r w:rsidR="0003540E">
        <w:rPr>
          <w:rFonts w:ascii="仿宋" w:eastAsia="仿宋" w:hAnsi="仿宋" w:hint="eastAsia"/>
          <w:sz w:val="28"/>
          <w:szCs w:val="28"/>
          <w:lang w:eastAsia="zh-Hans"/>
        </w:rPr>
        <w:t>绿色金融相关融资工具</w:t>
      </w:r>
      <w:r w:rsidR="00C34D2E">
        <w:rPr>
          <w:rFonts w:ascii="仿宋" w:eastAsia="仿宋" w:hAnsi="仿宋" w:hint="eastAsia"/>
          <w:sz w:val="28"/>
          <w:szCs w:val="28"/>
          <w:lang w:eastAsia="zh-Hans"/>
        </w:rPr>
        <w:t>”</w:t>
      </w:r>
      <w:r w:rsidR="0003540E">
        <w:rPr>
          <w:rFonts w:ascii="仿宋" w:eastAsia="仿宋" w:hAnsi="仿宋" w:hint="eastAsia"/>
          <w:sz w:val="28"/>
          <w:szCs w:val="28"/>
          <w:lang w:eastAsia="zh-Hans"/>
        </w:rPr>
        <w:t>为角度，</w:t>
      </w:r>
      <w:r>
        <w:rPr>
          <w:rFonts w:ascii="仿宋" w:eastAsia="仿宋" w:hAnsi="仿宋" w:hint="eastAsia"/>
          <w:sz w:val="28"/>
          <w:szCs w:val="28"/>
          <w:lang w:eastAsia="zh-CN"/>
        </w:rPr>
        <w:t>阐释了北交所在支持“专精特新”及中小企业融资发展上的制度</w:t>
      </w:r>
      <w:r w:rsidR="00C34D2E">
        <w:rPr>
          <w:rFonts w:ascii="仿宋" w:eastAsia="仿宋" w:hAnsi="仿宋" w:hint="eastAsia"/>
          <w:sz w:val="28"/>
          <w:szCs w:val="28"/>
          <w:lang w:eastAsia="zh-CN"/>
        </w:rPr>
        <w:t>安排</w:t>
      </w:r>
      <w:r>
        <w:rPr>
          <w:rFonts w:ascii="仿宋" w:eastAsia="仿宋" w:hAnsi="仿宋" w:hint="eastAsia"/>
          <w:sz w:val="28"/>
          <w:szCs w:val="28"/>
          <w:lang w:eastAsia="zh-CN"/>
        </w:rPr>
        <w:t>及意义</w:t>
      </w:r>
      <w:r>
        <w:rPr>
          <w:rFonts w:ascii="仿宋" w:eastAsia="仿宋" w:hAnsi="仿宋"/>
          <w:sz w:val="28"/>
          <w:szCs w:val="28"/>
          <w:lang w:eastAsia="zh-CN"/>
        </w:rPr>
        <w:t>。</w:t>
      </w:r>
      <w:r>
        <w:rPr>
          <w:rFonts w:ascii="仿宋" w:eastAsia="仿宋" w:hAnsi="仿宋" w:hint="eastAsia"/>
          <w:sz w:val="28"/>
          <w:szCs w:val="28"/>
          <w:lang w:eastAsia="zh-CN"/>
        </w:rPr>
        <w:t>此外，顾筝筝老师还就学校师生们对交易所</w:t>
      </w:r>
      <w:r w:rsidR="00C34D2E">
        <w:rPr>
          <w:rFonts w:ascii="仿宋" w:eastAsia="仿宋" w:hAnsi="仿宋" w:hint="eastAsia"/>
          <w:sz w:val="28"/>
          <w:szCs w:val="28"/>
          <w:lang w:eastAsia="zh-CN"/>
        </w:rPr>
        <w:t>的</w:t>
      </w:r>
      <w:r>
        <w:rPr>
          <w:rFonts w:ascii="仿宋" w:eastAsia="仿宋" w:hAnsi="仿宋" w:hint="eastAsia"/>
          <w:sz w:val="28"/>
          <w:szCs w:val="28"/>
          <w:lang w:eastAsia="zh-CN"/>
        </w:rPr>
        <w:t>日常业务、工作内容、求职等感兴趣的领域进行了扩充讲解，帮助同学们在学生阶段更好地做好职业规划及技能储备。</w:t>
      </w:r>
    </w:p>
    <w:p w14:paraId="420975C4" w14:textId="3890427F" w:rsidR="0003540E" w:rsidRDefault="00FE53C4" w:rsidP="00FE53C4">
      <w:pPr>
        <w:spacing w:line="360" w:lineRule="auto"/>
        <w:ind w:firstLineChars="300" w:firstLine="720"/>
        <w:rPr>
          <w:rFonts w:ascii="仿宋" w:eastAsia="仿宋" w:hAnsi="仿宋"/>
          <w:noProof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1199B28A" wp14:editId="03E31D22">
            <wp:extent cx="6120130" cy="322580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C533" w14:textId="306733FA" w:rsidR="00FE53C4" w:rsidRDefault="00FE53C4" w:rsidP="00FE53C4">
      <w:pPr>
        <w:spacing w:line="360" w:lineRule="auto"/>
        <w:ind w:firstLineChars="300" w:firstLine="720"/>
        <w:rPr>
          <w:rFonts w:ascii="仿宋" w:eastAsia="仿宋" w:hAnsi="仿宋"/>
          <w:noProof/>
          <w:sz w:val="28"/>
          <w:szCs w:val="28"/>
          <w:lang w:eastAsia="zh-CN"/>
        </w:rPr>
      </w:pPr>
      <w:r>
        <w:rPr>
          <w:noProof/>
        </w:rPr>
        <w:lastRenderedPageBreak/>
        <w:drawing>
          <wp:inline distT="0" distB="0" distL="0" distR="0" wp14:anchorId="66FC411D" wp14:editId="6A2CFBB7">
            <wp:extent cx="6120130" cy="32258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CF04" w14:textId="77777777" w:rsidR="006D3E26" w:rsidRDefault="006D3E26" w:rsidP="0003540E">
      <w:pPr>
        <w:spacing w:line="360" w:lineRule="auto"/>
        <w:ind w:firstLineChars="300" w:firstLine="840"/>
        <w:jc w:val="both"/>
        <w:rPr>
          <w:rFonts w:ascii="仿宋" w:eastAsia="仿宋" w:hAnsi="仿宋"/>
          <w:sz w:val="28"/>
          <w:szCs w:val="28"/>
          <w:lang w:eastAsia="zh-CN"/>
        </w:rPr>
      </w:pPr>
    </w:p>
    <w:p w14:paraId="4DFD8AC3" w14:textId="7F305A3D" w:rsidR="003C6D2C" w:rsidRDefault="00000000" w:rsidP="0003540E">
      <w:pPr>
        <w:spacing w:line="360" w:lineRule="auto"/>
        <w:ind w:firstLineChars="300" w:firstLine="840"/>
        <w:jc w:val="both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近年来，为深入落实中国证监会与教育部联合印发的《关于加强证券期货知识普及教育的合作备忘录》相关要求，天风证券在党建共建、学科建设、人才培养、科学研究以及证券期货知识普及等多个领域，先后与武汉大学、华中师范大学、中南财经政法大学等高校深入合作，与武汉大学资本市场法治研究中心合作推出投资者教育基地，与中南财经政法大学合作推出</w:t>
      </w:r>
      <w:r>
        <w:rPr>
          <w:rFonts w:ascii="仿宋" w:eastAsia="仿宋" w:hAnsi="仿宋"/>
          <w:sz w:val="28"/>
          <w:szCs w:val="28"/>
          <w:rtl/>
        </w:rPr>
        <w:t>“</w:t>
      </w:r>
      <w:r>
        <w:rPr>
          <w:rFonts w:ascii="仿宋" w:eastAsia="仿宋" w:hAnsi="仿宋" w:hint="eastAsia"/>
          <w:sz w:val="28"/>
          <w:szCs w:val="28"/>
          <w:lang w:eastAsia="zh-CN"/>
        </w:rPr>
        <w:t>财富管理</w:t>
      </w:r>
      <w:r>
        <w:rPr>
          <w:rFonts w:ascii="仿宋" w:eastAsia="仿宋" w:hAnsi="仿宋"/>
          <w:sz w:val="28"/>
          <w:szCs w:val="28"/>
          <w:lang w:eastAsia="zh-CN"/>
        </w:rPr>
        <w:t>”</w:t>
      </w:r>
      <w:r>
        <w:rPr>
          <w:rFonts w:ascii="仿宋" w:eastAsia="仿宋" w:hAnsi="仿宋" w:hint="eastAsia"/>
          <w:sz w:val="28"/>
          <w:szCs w:val="28"/>
          <w:lang w:eastAsia="zh-CN"/>
        </w:rPr>
        <w:t>方向专业课程，与华中师范大学合作推出</w:t>
      </w:r>
      <w:r>
        <w:rPr>
          <w:rFonts w:ascii="仿宋" w:eastAsia="仿宋" w:hAnsi="仿宋"/>
          <w:sz w:val="28"/>
          <w:szCs w:val="28"/>
          <w:rtl/>
        </w:rPr>
        <w:t>“</w:t>
      </w:r>
      <w:r>
        <w:rPr>
          <w:rFonts w:ascii="仿宋" w:eastAsia="仿宋" w:hAnsi="仿宋" w:hint="eastAsia"/>
          <w:sz w:val="28"/>
          <w:szCs w:val="28"/>
          <w:lang w:eastAsia="zh-CN"/>
        </w:rPr>
        <w:t>绿色金融</w:t>
      </w:r>
      <w:r>
        <w:rPr>
          <w:rFonts w:ascii="仿宋" w:eastAsia="仿宋" w:hAnsi="仿宋"/>
          <w:sz w:val="28"/>
          <w:szCs w:val="28"/>
          <w:lang w:eastAsia="zh-CN"/>
        </w:rPr>
        <w:t>”</w:t>
      </w:r>
      <w:r>
        <w:rPr>
          <w:rFonts w:ascii="仿宋" w:eastAsia="仿宋" w:hAnsi="仿宋" w:hint="eastAsia"/>
          <w:sz w:val="28"/>
          <w:szCs w:val="28"/>
          <w:lang w:eastAsia="zh-CN"/>
        </w:rPr>
        <w:t>方向专业课程等，从多个层面有效推动投资者教育纳入国民教育体系，并以校园为支点，提升全社会理性投资意识和风险防范能力</w:t>
      </w:r>
      <w:r w:rsidR="0003540E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sectPr w:rsidR="003C6D2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52E0" w14:textId="77777777" w:rsidR="00647116" w:rsidRDefault="00647116">
      <w:r>
        <w:separator/>
      </w:r>
    </w:p>
  </w:endnote>
  <w:endnote w:type="continuationSeparator" w:id="0">
    <w:p w14:paraId="49462516" w14:textId="77777777" w:rsidR="00647116" w:rsidRDefault="0064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7330" w14:textId="77777777" w:rsidR="003C6D2C" w:rsidRDefault="003C6D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9B79" w14:textId="77777777" w:rsidR="00647116" w:rsidRDefault="00647116">
      <w:r>
        <w:separator/>
      </w:r>
    </w:p>
  </w:footnote>
  <w:footnote w:type="continuationSeparator" w:id="0">
    <w:p w14:paraId="301BED9D" w14:textId="77777777" w:rsidR="00647116" w:rsidRDefault="0064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24D" w14:textId="77777777" w:rsidR="003C6D2C" w:rsidRDefault="003C6D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56"/>
    <w:rsid w:val="FF5F7162"/>
    <w:rsid w:val="0003540E"/>
    <w:rsid w:val="001C5B23"/>
    <w:rsid w:val="003C6D2C"/>
    <w:rsid w:val="005127C7"/>
    <w:rsid w:val="00632CAE"/>
    <w:rsid w:val="00647116"/>
    <w:rsid w:val="006B71E2"/>
    <w:rsid w:val="006D3E26"/>
    <w:rsid w:val="00783556"/>
    <w:rsid w:val="00A160E6"/>
    <w:rsid w:val="00AC5DF7"/>
    <w:rsid w:val="00AE7F09"/>
    <w:rsid w:val="00B67BD3"/>
    <w:rsid w:val="00C34D2E"/>
    <w:rsid w:val="00D55CBC"/>
    <w:rsid w:val="00D964B9"/>
    <w:rsid w:val="00E240C3"/>
    <w:rsid w:val="00FE53C4"/>
    <w:rsid w:val="6FFF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661236"/>
  <w15:docId w15:val="{A48967E0-FD4E-4CFC-B206-C08D1275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小笔</dc:creator>
  <cp:lastModifiedBy>mao yanli</cp:lastModifiedBy>
  <cp:revision>6</cp:revision>
  <dcterms:created xsi:type="dcterms:W3CDTF">2022-12-01T09:13:00Z</dcterms:created>
  <dcterms:modified xsi:type="dcterms:W3CDTF">2023-03-14T03:04:00Z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CBF66D30775C68C9836E88636282E471</vt:lpwstr>
  </property>
</Properties>
</file>